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LuftvKflAusbV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Passagierprozesse mit    15 Prozent,</w:t>
      </w:r>
    </w:p>
    <w:p>
      <w:r>
        <w:rPr>
          <w:rFonts w:ascii="Courier New" w:hAnsi="Courier New"/>
          <w:sz w:val="17"/>
        </w:rPr>
        <w:t xml:space="preserve">Personal und Beschaffung mit    15 Prozent,</w:t>
      </w:r>
    </w:p>
    <w:p>
      <w:r>
        <w:rPr>
          <w:rFonts w:ascii="Courier New" w:hAnsi="Courier New"/>
          <w:sz w:val="17"/>
        </w:rPr>
        <w:t xml:space="preserve">Kaufmännische Unterstützungs-prozesse mit    30 Prozent,</w:t>
      </w:r>
    </w:p>
    <w:p>
      <w:r>
        <w:rPr>
          <w:rFonts w:ascii="Courier New" w:hAnsi="Courier New"/>
          <w:sz w:val="17"/>
        </w:rPr>
        <w:t xml:space="preserve">Abfertigungsprozesse mit    30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zwei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(3) Auf Antrag des Prüflings ist die Prüfung in einem der Prüfungsbereiche „Kaufmännische Unterstützungsprozesse“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17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