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LuftvKflAusbV — Prüfungsbereich Passagierprozesse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Passagierprozesse soll der Prüfling nachweisen, dass er in der Lage ist,</w:t>
      </w:r>
    </w:p>
    <w:p>
      <w:pPr>
        <w:ind w:left="420"/>
      </w:pPr>
      <w:r>
        <w:t xml:space="preserve">1. die Passagierabfertigung zu steuern,</w:t>
      </w:r>
    </w:p>
    <w:p>
      <w:pPr>
        <w:ind w:left="420"/>
      </w:pPr>
      <w:r>
        <w:t xml:space="preserve">2. Terminalprozesse mit operativen Partnern zu koordinieren und abzustimmen,</w:t>
      </w:r>
    </w:p>
    <w:p>
      <w:pPr>
        <w:ind w:left="420"/>
      </w:pPr>
      <w:r>
        <w:t xml:space="preserve">3. rechtliche Regelungen, Richtlinien und Standards des Luftverkehrs einzuhalten sowie Luftsicherheitsvorgaben umzusetzen und</w:t>
      </w:r>
    </w:p>
    <w:p>
      <w:pPr>
        <w:ind w:left="420"/>
      </w:pPr>
      <w:r>
        <w:t xml:space="preserve">4. die englische Sprache situations- und berufsbezogen anzuwenden.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10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