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LuftrettGebO (Brandenburg) — Durchführungsbestimmungen</w:t>
      </w:r>
    </w:p>
    <w:p>
      <w:r>
        <w:rPr>
          <w:color w:val="555555"/>
          <w:sz w:val="18"/>
        </w:rPr>
        <w:t xml:space="preserve">Luftrettungsdienst-Gebührenordnung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Flugminutenpreise bestimmen sich nach dem in der Anlage zu dieser Verordnung aufgeführten Gebührenverzeichnis.</w:t>
      </w:r>
    </w:p>
    <w:p>
      <w:r>
        <w:t xml:space="preserve">(2) Die Gebühr wird zwei Wochen nach Zustellung des Gebührenbescheides fällig.</w:t>
      </w:r>
    </w:p>
    <w:p>
      <w:r>
        <w:t xml:space="preserve">(3) Im Übrigen gelten die Bestimmungen des Gebührengesetzes für das Land Brandenburg.</w:t>
      </w:r>
    </w:p>
    <w:p>
      <w:r>
        <w:rPr>
          <w:color w:val="555555"/>
          <w:sz w:val="17"/>
        </w:rPr>
        <w:t xml:space="preserve">Zitiervorschlag: § 4 LuftrettGebO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https://recht.nulegal.eu/gesetze/LuftrettGebO/4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