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LuftrettGebO (Brandenburg) — Gebührengläubiger und Gebührenschuldner</w:t>
      </w:r>
    </w:p>
    <w:p>
      <w:r>
        <w:rPr>
          <w:color w:val="555555"/>
          <w:sz w:val="18"/>
        </w:rPr>
        <w:t xml:space="preserve">Luftrettungsdienst-Gebührenordnung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(1) Gebührengläubiger ist das Land Brandenburg als Träger der Luftrettung.</w:t>
      </w:r>
    </w:p>
    <w:p>
      <w:r>
        <w:t xml:space="preserve">(2) Gebührenschuldner ist die Person, die das Luftrettungsmittel in Anspruch nimmt oder für die Kostenschuld des Benutzers kraft Gesetzes haftet.</w:t>
      </w:r>
    </w:p>
    <w:p>
      <w:r>
        <w:rPr>
          <w:color w:val="555555"/>
          <w:sz w:val="17"/>
        </w:rPr>
        <w:t xml:space="preserve">Zitiervorschlag: § 3 LuftrettGebO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https://recht.nulegal.eu/gesetze/LuftrettGebO/3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