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LuftrettGebO (Brandenburg) — Gebührenbemessung und Entstehung der Gebührenschuld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Höhe der Gebühr bemisst sich nach der Dauer des Einsatzes und dem für den Standort des eingesetzten Rettungshubschraubers auf Grund von § 17 Absatz 2 Satz 2 des Brandenburgischen Rettungsdienstgesetzes festgesetzten Flugminutenpreis.</w:t>
      </w:r>
    </w:p>
    <w:p>
      <w:r>
        <w:t xml:space="preserve">(2) Die Gebühr entsteht mit dem Einsatz des Rettungshubschraubers.</w:t>
      </w:r>
    </w:p>
    <w:p>
      <w:r>
        <w:t xml:space="preserve">(3) Die Rettungshubschrauber sind stationiert an den Luftrettungsstandorten</w:t>
      </w:r>
    </w:p>
    <w:p>
      <w:r>
        <w:t xml:space="preserve">Angermünde,</w:t>
      </w:r>
    </w:p>
    <w:p>
      <w:r>
        <w:t xml:space="preserve">Bad Saarow,</w:t>
      </w:r>
    </w:p>
    <w:p>
      <w:r>
        <w:t xml:space="preserve">Brandenburg an der Havel,</w:t>
      </w:r>
    </w:p>
    <w:p>
      <w:r>
        <w:t xml:space="preserve">Perleberg und</w:t>
      </w:r>
    </w:p>
    <w:p>
      <w:r>
        <w:t xml:space="preserve">Senftenberg.</w:t>
      </w:r>
    </w:p>
    <w:p>
      <w:r>
        <w:t xml:space="preserve">(4) Die Absätze 1 und 2 sind entsprechend auf Einsätze des Verlegungshubschraubers anzuwenden.</w:t>
      </w:r>
    </w:p>
    <w:p>
      <w:r>
        <w:rPr>
          <w:color w:val="555555"/>
          <w:sz w:val="17"/>
        </w:rPr>
        <w:t xml:space="preserve">Zitiervorschlag: § 2 LuftrettGebO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