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LuftfahrtZustVO (Nordrhein-Westfalen)</w:t>
      </w:r>
    </w:p>
    <w:p>
      <w:r>
        <w:rPr>
          <w:color w:val="555555"/>
          <w:sz w:val="18"/>
        </w:rPr>
        <w:t xml:space="preserve">Zuständigkeitsverordnung Luftfahrt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Luftrechtliche Verfahren im Sinne der §§ 1 und 4 und Ordnungswidrigkeitenverfahren im Sinne des § 6, die vor In-Kraft-Treten dieser Verordnung anhängig geworden sind, werden von der Luftfahrtbehörde fortgeführt, die nach In-Kraft-Treten dieser Verordnung zuständig ist.</w:t>
      </w:r>
    </w:p>
    <w:p>
      <w:r>
        <w:t xml:space="preserve">(2) Verwaltungsstreitverfahren, die sich auf Verwaltungsakte einer Luftfahrtbehörde beziehen, werden unabhängig vom Inkrafttreten dieser Verordnung von der Luftfahrtbehörde betrieben oder weiterbetrieben, die diese Verwaltungsakte erlassen hat.</w:t>
      </w:r>
    </w:p>
    <w:p>
      <w:r>
        <w:rPr>
          <w:color w:val="555555"/>
          <w:sz w:val="17"/>
        </w:rPr>
        <w:t xml:space="preserve">Zitiervorschlag: § 7 LuftfahrtZustVO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https://recht.nulegal.eu/gesetze/LuftfahrtZustVO/7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