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LuftfahrtZustVO (Nordrhein-Westfalen)</w:t>
      </w:r>
    </w:p>
    <w:p>
      <w:r>
        <w:rPr>
          <w:color w:val="555555"/>
          <w:sz w:val="18"/>
        </w:rPr>
        <w:t xml:space="preserve">Zuständigkeitsverordnung Luftfahrt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zur Verfolgung und Ahndung von Ordnungswidrigkeiten nach § 58 LuftVG sowie nach § 18 in Verbindung mit §§ 7, 8 und 10 LuftSiG wird den nach § 2 zuständigen Bezirksregierungen übertragen.</w:t>
      </w:r>
    </w:p>
    <w:p>
      <w:r>
        <w:rPr>
          <w:color w:val="555555"/>
          <w:sz w:val="17"/>
        </w:rPr>
        <w:t xml:space="preserve">Zitiervorschlag: § 6 LuftfahrtZustVO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https://recht.nulegal.eu/gesetze/LuftfahrtZustVO/6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