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LuftfahrtZustVO (Nordrhein-Westfalen)</w:t>
      </w:r>
    </w:p>
    <w:p>
      <w:r>
        <w:rPr>
          <w:color w:val="555555"/>
          <w:sz w:val="18"/>
        </w:rPr>
        <w:t xml:space="preserve">Zuständigkeitsverordnung Luftfahrt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Planfeststellungsbehörde im Sinne des § 10 Abs. 1 LuftVG ist für die in § 1 genannten Flughäfen das für den Verkehr zuständige Ministerium, für die übrigen Flughäfen und für Landeplätze mit beschränktem Bauschutzbereich nach § 17 LuftVG die nach § 2 zuständige Bezirksregierung.</w:t>
      </w:r>
    </w:p>
    <w:p>
      <w:r>
        <w:t xml:space="preserve">(2) Zuständige Behörde (Anhörungsbehörde) im Sinne des § 10 Abs. 2 LuftVG in Verbindung mit § 73 Abs. 4 VwVfG. NRW. ist die nach § 2 zuständige Bezirksregierung.</w:t>
      </w:r>
    </w:p>
    <w:p>
      <w:r>
        <w:rPr>
          <w:color w:val="555555"/>
          <w:sz w:val="17"/>
        </w:rPr>
        <w:t xml:space="preserve">Zitiervorschlag: § 4 LuftfahrtZustVO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https://recht.nulegal.eu/gesetze/LuftfahrtZustVO/4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