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LuftVerkSiV</w:t>
      </w:r>
    </w:p>
    <w:p>
      <w:r>
        <w:rPr>
          <w:color w:val="555555"/>
          <w:sz w:val="18"/>
        </w:rPr>
        <w:t xml:space="preserve">Verordnung zur Sicherstellung des Luftverkehrs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oder fahrlässig</w:t>
      </w:r>
    </w:p>
    <w:p>
      <w:pPr>
        <w:ind w:left="420"/>
      </w:pPr>
      <w:r>
        <w:t xml:space="preserve">1. als Halter oder Führer eines Luftfahrzeugs entgegen § 2 Abs. 1 ein Luftfahrzeug betreibt,</w:t>
      </w:r>
    </w:p>
    <w:p>
      <w:pPr>
        <w:ind w:left="420"/>
      </w:pPr>
      <w:r>
        <w:t xml:space="preserve">2. als Luftfahrtunternehmer einer vollziehbaren Verpflichtung nach § 5 über die Meldung von Art und Umfang der Verkehrsleistungen nicht nachkommt oder</w:t>
      </w:r>
    </w:p>
    <w:p>
      <w:pPr>
        <w:ind w:left="420"/>
      </w:pPr>
      <w:r>
        <w:t xml:space="preserve">3. als Flugplatzhalter einer vollziehbaren Verpflichtung nach § 4 über die Meldung von Art und Umfang der Verkehrsleistungen nicht nachkommt,</w:t>
      </w:r>
    </w:p>
    <w:p>
      <w:r>
        <w:t xml:space="preserve">begeht eine Zuwiderhandlung im Sinne des § 26 Nr. 1 des Verkehrssicherstellungsgesetzes, die nach dem Wirtschaftsstrafgesetz 1954 in der Fassung der Bekanntmachung vom 3. Juni 1975 (BGBl. I S. 1313) geahndet wird.</w:t>
      </w:r>
    </w:p>
    <w:p>
      <w:r>
        <w:t xml:space="preserve">(2) Verwaltungsbehörde im Sinne des § 29 Nr. 2 des Verkehrssicherstellungsgesetzes ist bei Ordnungswidrigkeiten nach Absatz 1 Nr. 1 und 2 das Luftfahrt-Bundesamt, bei Ordnungswidrigkeiten nach Absatz 1 Nr. 3 die oberste Landesverkehrsbehörde.</w:t>
      </w:r>
    </w:p>
    <w:p>
      <w:r>
        <w:rPr>
          <w:color w:val="555555"/>
          <w:sz w:val="17"/>
        </w:rPr>
        <w:t xml:space="preserve">Zitiervorschlag: § 6 LuftVerkSiV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https://recht.nulegal.eu/gesetze/LuftVerkSiV/6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