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LuftVerkSiV</w:t>
      </w:r>
    </w:p>
    <w:p>
      <w:r>
        <w:rPr>
          <w:color w:val="555555"/>
          <w:sz w:val="18"/>
        </w:rPr>
        <w:t xml:space="preserve">Verordnung zur Sicherstellung des Luftverkehrs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 und digitale Infrastruktur kann durch Rechtsverordnung</w:t>
      </w:r>
    </w:p>
    <w:p>
      <w:pPr>
        <w:ind w:left="420"/>
      </w:pPr>
      <w:r>
        <w:t xml:space="preserve">1. die Beförderungspflicht nach § 21 Abs. 2 bis 4 des Luftverkehrsgesetzes vorübergehend ruhen lassen.</w:t>
      </w:r>
    </w:p>
    <w:p>
      <w:pPr>
        <w:ind w:left="420"/>
      </w:pPr>
      <w:r>
        <w:t xml:space="preserve">2. Luftfahrtunternehmen, soweit sie einer Beförderungspflicht nach § 21 Abs. 2 bis 4 des Luftverkehrsgesetzes unterliegen, verpflichten, bestimmte Beförderungen mit Vorrang vor anderen Beförderungen oder in einer bestimmten Reihenfolge durchzuführen.</w:t>
      </w:r>
    </w:p>
    <w:p>
      <w:r>
        <w:rPr>
          <w:color w:val="555555"/>
          <w:sz w:val="17"/>
        </w:rPr>
        <w:t xml:space="preserve">Zitiervorschlag: § 3 LuftVerkSiV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https://recht.nulegal.eu/gesetze/LuftVerkSiV/3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