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LuftVerkSiV</w:t>
      </w:r>
    </w:p>
    <w:p>
      <w:r>
        <w:rPr>
          <w:color w:val="555555"/>
          <w:sz w:val="18"/>
        </w:rPr>
        <w:t xml:space="preserve">Verordnung zur Sicherstellung des Luftverkehrs</w:t>
      </w:r>
    </w:p>
    <w:p>
      <w:r>
        <w:rPr>
          <w:color w:val="555555"/>
          <w:sz w:val="18"/>
        </w:rPr>
        <w:t xml:space="preserve">Stand: 10.06.2019 (konsolidierte Textfassung, kein amtliches Inkrafttretensdatum)</w:t>
      </w:r>
    </w:p>
    <w:p>
      <w:r>
        <w:t xml:space="preserve">Zweck dieser Verordnung ist es, sicherzustellen, daß in einem Verteidigungsfall sowie in einer Zeit, in der die Verteidigungsbereitschaft der Bundesrepublik Deutschland im Hinblick auf einen möglichen Verteidigungsfall erhöht werden muß, die erforderlichen lebenswichtigen Verkehrsleistungen, insbesondere zur Versorgung der Zivilbevölkerung und der Streitkräfte, im Luftverkehr erbracht werden können.</w:t>
      </w:r>
    </w:p>
    <w:p>
      <w:r>
        <w:rPr>
          <w:color w:val="555555"/>
          <w:sz w:val="17"/>
        </w:rPr>
        <w:t xml:space="preserve">Zitiervorschlag: § 1 LuftVerkSiV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https://recht.nulegal.eu/gesetze/LuftVerkSiV/1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