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LuftVZO — Ausländische Staatsluftfahrzeuge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Erlaubnis zum Einflug von ausländischen Luftfahrzeugen, die im Militärdienst verwendet werden, erteilt das Bundesministerium der Verteidigung.</w:t>
      </w:r>
    </w:p>
    <w:p>
      <w:r>
        <w:t xml:space="preserve">(2) Für ausländische Luftfahrzeuge, die im Zoll- oder Polizeidienst verwendet werden, ist ein gesonderter Antrag auf Erteilung der Einflugerlaubnis nicht erforderlich, sofern eine entsprechende Angabe in dem nach Anhang SERA.4001 Buchstabe b der Durchführungsverordnung (EU) Nr. 923/2012 der Kommission vom 26. September 2012 zur Festlegung gemeinsamer Luftverkehrsregeln und Betriebsvorschriften für Dienste und Verfahren der Flugsicherung und zur Änderung der Durchführungsverordnung (EG) Nr. 1035/2011 sowie der Verordnungen (EG) Nr. 1265/2007, (EG) Nr. 1794/2006, (EG) Nr. 730/2006, (EG) Nr. 1033/2006 und (EU) Nr. 255/2010 (ABl. L 281 vom 13.10.2012, S. 1, L 145 vom 31.5.2013, S. 38) in der jeweils geltenden Fassung oder nach § 30 der Luftverkehrs-Ordnung vorgesehenen Flugplan bei der zuständigen Flugverkehrskontrolle erfolgt. Die Erlaubnis gilt als erteilt, wenn die zuständige Behörde (§ 94) nicht ausdrücklich ablehnt.</w:t>
      </w:r>
    </w:p>
    <w:p>
      <w:r>
        <w:t xml:space="preserve">(3) Das Bundesministerium der Verteidigung tritt in den Fällen des Absatzes 1 an die Stelle der in § 78 Abs. 1 genannten Erlaubnisbehörde.</w:t>
      </w:r>
    </w:p>
    <w:p>
      <w:r>
        <w:rPr>
          <w:color w:val="555555"/>
          <w:sz w:val="17"/>
        </w:rPr>
        <w:t xml:space="preserve">Zitiervorschlag: § 97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