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93a LuftVZO — Verbringung von Luftfahrzeugen auf andere Weise aus dem Hoheitsgebiet der Bundesrepublik Deutschland</w:t>
      </w:r>
    </w:p>
    <w:p>
      <w:r>
        <w:rPr>
          <w:color w:val="555555"/>
          <w:sz w:val="18"/>
        </w:rPr>
        <w:t xml:space="preserve">Luftverkehrs-Zulassungs-Ordnung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Dem Ausflug im Sinne der Vorschriften dieses Unterabschnittes steht die Verbringung von Luftfahrzeugen auf andere Weise aus dem Hoheitsgebiet der Bundesrepublik Deutschland gleich.</w:t>
      </w:r>
    </w:p>
    <w:p>
      <w:r>
        <w:rPr>
          <w:color w:val="555555"/>
          <w:sz w:val="17"/>
        </w:rPr>
        <w:t xml:space="preserve">Zitiervorschlag: § 93a LuftVZO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https://recht.nulegal.eu/gesetze/LuftVZO/93a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