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LuftVZO — Erlaubnisfreier Ausflug und erlaubnisfreie Verbringung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Erlaubnis nach § 2 Abs. 6 des Luftverkehrsgesetzes bedarf es nicht bei der Verwendung von Luftfahrzeugen für Flüge, die nicht der Genehmigungspflicht des § 20 des Luftverkehrsgesetzes unterliegen, wenn der Bestimmungsort in einem Vertragsstaat der Internationalen Zivilluftfahrt-Organisation (ICAO-Mitgliedstaat) liegt, sowie bei der Verwendung von Luftsportgeräten und für Flüge im Fluglinienverkehr.</w:t>
      </w:r>
    </w:p>
    <w:p>
      <w:r>
        <w:t xml:space="preserve">(2) Die Erlaubnisbehörde kann in den Fällen des Absatzes 1 anordnen, dass eine Erlaubnis einzuholen ist, wenn im Einzelfall begründeter Verdacht besteht, dass die Verwendung des Luftfahrzeugs die öffentliche Sicherheit und Ordnung stört oder geeignet ist, Handlungen zu dienen, die verfassungswidrig im Sinne des Artikels 26 Abs. 1 des Grundgesetzes oder nach den im Geltungsbereich dieser Verordnung bestehenden Rechtsvorschriften unter Strafe gestellt sind.</w:t>
      </w:r>
    </w:p>
    <w:p>
      <w:r>
        <w:t xml:space="preserve">(3) Das Bundesministerium für Verkehr und digitale Infrastruktur kann durch Bekanntmachung im Bundesanzeiger die Befreiungen nach Absatz 1 für Ausflüge deutscher Luftfahrzeuge nach bestimmten Staaten zeitweilig außer Kraft setzen, soweit dies im Interesse der Sicherheit und Ordnung sowie der Landesverteidigung der Bundesrepublik Deutschland notwendig ist. Das gilt insbesondere bei Ausflügen deutscher Luftfahrzeuge nach einem Staat, der es unterlässt, strafbare Handlungen im Sinne der Übereinkommen vom 16. Dezember 1970 zur Bekämpfung der widerrechtlichen Inbesitznahme von Luftfahrzeugen (BGBl. 1972 II S. 1505) und vom 23. September 1971 zur Bekämpfung widerrechtlicher Handlungen gegen die Sicherheit der Zivilluftfahrt (BGBl. 1977 II S. 1229) seinen zuständigen Behörden zum Zwecke der Strafverfolgung zu unterbreiten oder Verdächtige auszuliefern sowie entführte Luftfahrzeuge an den Staat zurückzugeben, in dem diese eingetragen sind.</w:t>
      </w:r>
    </w:p>
    <w:p>
      <w:r>
        <w:rPr>
          <w:color w:val="555555"/>
          <w:sz w:val="17"/>
        </w:rPr>
        <w:t xml:space="preserve">Zitiervorschlag: § 92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