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LuftVZO — Zulassungsantrag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Verkehrszulassung muss enthalten</w:t>
      </w:r>
    </w:p>
    <w:p>
      <w:pPr>
        <w:ind w:left="420"/>
      </w:pPr>
      <w:r>
        <w:t xml:space="preserve">1. die Bezeichnung des Eigentümers, und zwar</w:t>
      </w:r>
    </w:p>
    <w:p>
      <w:pPr>
        <w:ind w:left="780"/>
      </w:pPr>
      <w:r>
        <w:t xml:space="preserve">a) bei natürlichen Personen den Namen und die Anschrift sowie andere, den Eigentümer deutlich kennzeichnende Merkmale, soweit dies zur Klarstellung erforderlich ist,</w:t>
      </w:r>
    </w:p>
    <w:p>
      <w:pPr>
        <w:ind w:left="780"/>
      </w:pPr>
      <w:r>
        <w:t xml:space="preserve">b) bei juristischen Personen und Gesellschaften des Handelsrechts die Firma oder den Namen sowie den Sitz, bei einer offenen Handelsgesellschaft ferner die Namen aller Gesellschafter und bei einer Kommanditgesellschaft oder einer Kommanditgesellschaft auf Aktien die Namen aller persönlich haftenden Gesellschafter,</w:t>
      </w:r>
    </w:p>
    <w:p>
      <w:pPr>
        <w:ind w:left="780"/>
      </w:pPr>
      <w:r>
        <w:t xml:space="preserve">c) bei mehreren Eigentümern die Anteile der Berechtigten in Bruchteilen oder das für die Gemeinschaft maßgebende Rechtsverhältnis, ferner einen von den Berechtigten bevollmächtigten Vertreter;</w:t>
      </w:r>
    </w:p>
    <w:p>
      <w:pPr>
        <w:ind w:left="420"/>
      </w:pPr>
      <w:r>
        <w:t xml:space="preserve">2. die Benennung eines Zustellungsbevollmächtigten, soweit der Eigentümer seinen Wohn- oder Geschäftssitz nicht in der Bundesrepublik Deutschland hat;</w:t>
      </w:r>
    </w:p>
    <w:p>
      <w:pPr>
        <w:ind w:left="420"/>
      </w:pPr>
      <w:r>
        <w:t xml:space="preserve">3. die Angabe der Staatsangehörigkeit des Eigentümers; bei juristischen Personen oder Gesellschaften des Handelsrechts die Angabe der Staatsangehörigkeit der Vertretungsberechtigten oder persönlich haftenden Personen und auf Verlangen einen Auszug aus dem Vereins-, Handels- oder Genossenschaftsregister; die deutsche Staatsangehörigkeit ist auf Verlangen nachzuweisen;</w:t>
      </w:r>
    </w:p>
    <w:p>
      <w:pPr>
        <w:ind w:left="420"/>
      </w:pPr>
      <w:r>
        <w:t xml:space="preserve">4. bei juristischen Personen und Gesellschaften des Handelsrechts die Erklärung, wem der überwiegende Teil ihres Vermögens oder Kapitals sowie die tatsächliche Kontrolle darüber zusteht und die Erklärung über die Staatsangehörigkeit dieser Personen; die den Erklärungen zugrunde liegenden tatsächlichen Behauptungen sind auf Verlangen nachzuweisen;</w:t>
      </w:r>
    </w:p>
    <w:p>
      <w:pPr>
        <w:ind w:left="420"/>
      </w:pPr>
      <w:r>
        <w:t xml:space="preserve">5. die Erklärung, dass das Luftfahrzeug außerhalb des Geltungsbereichs dieser Verordnung nicht in einem öffentlichen Register eingetragen ist; die Erklärung ist auf Verlangen glaubhaft zu machen;</w:t>
      </w:r>
    </w:p>
    <w:p>
      <w:pPr>
        <w:ind w:left="420"/>
      </w:pPr>
      <w:r>
        <w:t xml:space="preserve">6. die Angabe des Verwendungszweckes;</w:t>
      </w:r>
    </w:p>
    <w:p>
      <w:pPr>
        <w:ind w:left="420"/>
      </w:pPr>
      <w:r>
        <w:t xml:space="preserve">7. den Namen und die Anschrift des Halters, wenn der Eigentümer nicht zugleich Halter ist; bei mehreren Haltern gilt Nummer 1 Buchstabe c sinngemäß;</w:t>
      </w:r>
    </w:p>
    <w:p>
      <w:pPr>
        <w:ind w:left="420"/>
      </w:pPr>
      <w:r>
        <w:t xml:space="preserve">8. den regelmäßigen Standort des Luftfahrzeugs;</w:t>
      </w:r>
    </w:p>
    <w:p>
      <w:pPr>
        <w:ind w:left="420"/>
      </w:pPr>
      <w:r>
        <w:t xml:space="preserve">9. ein von der zuständigen Stelle nach der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(ABl. L 315 vom 28.11.2003, S. 1), die zuletzt durch die Verordnung (EU) Nr. 962/2010 (ABl. L 281 vom 27.10.2010, S. 78) geändert worden ist, in der jeweils geltenden Fassung genehmigtes Instandhaltungsprogramm, sofern nicht § 12 Absatz 3 der Verordnung zur Prüfung von Luftgerät zutrifft.</w:t>
      </w:r>
    </w:p>
    <w:p>
      <w:r>
        <w:t xml:space="preserve">(2) Dem Antrag sind beizufügen</w:t>
      </w:r>
    </w:p>
    <w:p>
      <w:pPr>
        <w:ind w:left="420"/>
      </w:pPr>
      <w:r>
        <w:t xml:space="preserve">1. der Nachweis des Eigentumserwerbs an dem Luftfahrzeug;</w:t>
      </w:r>
    </w:p>
    <w:p>
      <w:pPr>
        <w:ind w:left="420"/>
      </w:pPr>
      <w:r>
        <w:t xml:space="preserve">2. der Nachweis der Lufttüchtigkeit nach der Verordnung zur Prüfung von Luftfahrtgerät;</w:t>
      </w:r>
    </w:p>
    <w:p>
      <w:pPr>
        <w:ind w:left="420"/>
      </w:pPr>
      <w:r>
        <w:t xml:space="preserve">3. die Versicherungsbestätigung für den Luftfahrzeughalter nach § 106 Abs. 1;</w:t>
      </w:r>
    </w:p>
    <w:p>
      <w:pPr>
        <w:ind w:left="420"/>
      </w:pPr>
      <w:r>
        <w:t xml:space="preserve">4. der Nachweis der Löschung, wenn das Luftfahrzeug zuletzt außerhalb des Geltungsbereichs dieser Verordnung in einem öffentlichen Register eingetragen war;</w:t>
      </w:r>
    </w:p>
    <w:p>
      <w:pPr>
        <w:ind w:left="420"/>
      </w:pPr>
      <w:r>
        <w:t xml:space="preserve">5. die Frequenzzuteilung gemäß § 55 des Telekommunikationsgesetzes vom 22. Juni 2004 (BGBl. I S. 1190); für Luftfahrzeuge im Sinne von § 4 Abs. 2 der Verordnung über die Flugsicherungsausrüstung der Luftfahrzeuge vom 26. November 2004 (BGBl. I S. 3093) zusätzlich der Nachweis der Zulassung der Bordfunkanlage durch das Luftfahrt-Bundesamt oder das Bundesaufsichtsamt für Flugsicherung;</w:t>
      </w:r>
    </w:p>
    <w:p>
      <w:pPr>
        <w:ind w:left="420"/>
      </w:pPr>
      <w:r>
        <w:t xml:space="preserve">6. auf Verlangen der zuständigen Stelle eine Bescheinigung über das Ausmaß des durch den Betrieb des Luftfahrzeugs entstehenden Geräuschs, wenn das Luftfahrzeug nicht in allen Teilen dem lärmschutzgeprüften Muster entspricht; die zuständige Stelle kann eine für die Geräuschmessung geeignete Stelle vorschreiben, wenn Anlass für Zweifel an der Richtigkeit des vom Hersteller erbrachten Messergebnisses besteht.</w:t>
      </w:r>
    </w:p>
    <w:p>
      <w:r>
        <w:rPr>
          <w:color w:val="555555"/>
          <w:sz w:val="17"/>
        </w:rPr>
        <w:t xml:space="preserve">Zitiervorschlag: § 8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