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LuftVZO — Erlaubnis, Rücknahme und Widerruf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Erlaubnis nach § 27 Absatz 1 des Luftverkehrsgesetzes für gefährliche Güter nach § 76 Nummer 1 bis 4 wird den Luftfahrtunternehmen und Luftfahrzeughaltern vom Luftfahrt-Bundesamt allgemein oder im Einzelfall erteilt, wenn die in der Verordnung (EWG) Nr. 3922/91 Anhang III Abschnitt R oder beim Transport mit Hubschraubern die im Abschnitt R der JAR-OPS 3 deutsch (vom 28. Januar 2008, BAnz. Nr. 64a vom 25. April 2008) enthaltenen Forderungen sinngemäß erfüllt sind. Das Luftfahrt-Bundesamt überwacht die Einhaltung der Voraussetzungen und legt Nebenbestimmungen fest, die für die sichere Durchführung des Transports erforderlich sind. § 65 ist sinngemäß anzuwenden. Die Erteilung von Genehmigungen zum Transport radioaktiver Stoffe nach dem Atomgesetz bleibt hiervon unberührt.</w:t>
      </w:r>
    </w:p>
    <w:p>
      <w:r>
        <w:t xml:space="preserve">(2) Die Erlaubnis nach § 27 Abs. 2 des Luftverkehrsgesetzes wird für gefährliche Güter nach § 76 Nr. 1 bis 4 vom Luftfahrt-Bundesamt im Rahmen der Betriebsgenehmigung nach § 61 Abs. 1 oder der Genehmigung nach § 20 Abs. 1 Satz 1 des Luftverkehrsgesetzes dem Luftfahrtunternehmen allgemein erteilt, wenn dieses Maßnahmen nachgewiesen hat, die geeignet sind, eine Beeinträchtigung der Sicherheit des Flugbetriebes durch das Mitführen oder Ansichtragen gefährlicher Güter auszuschließen.</w:t>
      </w:r>
    </w:p>
    <w:p>
      <w:r>
        <w:t xml:space="preserve">(3) Verpackungen zum Transport gefährlicher Güter mit Ausnahme der Klasse 7 (radioaktive Stoffe) bedürfen der Zulassung durch die Bundesanstalt für Materialforschung und -prüfung (BAM). Verpackungen zum Transport gefährlicher Güter der Klasse 7 bedürfen der Zulassung und der Beförderungsgenehmigung durch das Bundesamt für die Sicherheit der nuklearen Entsorgung, soweit diese nach Verordnung (EWG) Nr. 3922/91 Anhang III oder JAR-OPS 3 deutsch festgelegt sind, ansonsten der Bauartprüfung durch den Hersteller auf der Basis eines von der BAM genehmigten Qualitätssicherungsprogrammes.</w:t>
      </w:r>
    </w:p>
    <w:p>
      <w:r>
        <w:t xml:space="preserve">(4) Auf die Rücknahme und den Widerruf der Erlaubnisse nach den Absätzen 1 und 2 ist § 20 Abs. 3 des Luftverkehrsgesetzes sinngemäß anzuwenden.</w:t>
      </w:r>
    </w:p>
    <w:p>
      <w:r>
        <w:rPr>
          <w:color w:val="555555"/>
          <w:sz w:val="17"/>
        </w:rPr>
        <w:t xml:space="preserve">Zitiervorschlag: § 78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