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LuftVZO — Begriffsabgrenzung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Gefährliche Güter im Sinne dieser Verordnung sind</w:t>
      </w:r>
    </w:p>
    <w:p>
      <w:pPr>
        <w:ind w:left="420"/>
      </w:pPr>
      <w:r>
        <w:t xml:space="preserve">1. Waffen, Munition, Sprengstoffe,</w:t>
      </w:r>
    </w:p>
    <w:p>
      <w:pPr>
        <w:ind w:left="420"/>
      </w:pPr>
      <w:r>
        <w:t xml:space="preserve">2. sonstige feste, flüssige oder gasförmige Stoffe, die leicht entzündbar, selbstentzündlich, entzündend, ätzend, giftig, radioaktiv oder magnetisch sind oder zur Polymerisation neigen, soweit es sich nicht um geringe Mengen handelt, die üblicherweise für den täglichen Gebrauch verwendet werden,</w:t>
      </w:r>
    </w:p>
    <w:p>
      <w:pPr>
        <w:ind w:left="420"/>
      </w:pPr>
      <w:r>
        <w:t xml:space="preserve">3. Stoffe, die bei Berührung mit Wasser entzündliche oder die Verbrennung unterstützende Gase entwickeln,</w:t>
      </w:r>
    </w:p>
    <w:p>
      <w:pPr>
        <w:ind w:left="420"/>
      </w:pPr>
      <w:r>
        <w:t xml:space="preserve">4. verdichtete, verflüssigte oder unter Druck gelöste Gase, soweit sie nicht zur Ausrüstung des Luftfahrzeugs gehören,</w:t>
      </w:r>
    </w:p>
    <w:p>
      <w:pPr>
        <w:ind w:left="420"/>
      </w:pPr>
      <w:r>
        <w:t xml:space="preserve">5. Gegenstände oder Stoffe, die das Luftfahrzeug oder dessen Ausrüstung oder Zubehör in einer die Sicherheit beeinträchtigenden Weise beschädigen können oder andere schädliche oder belästigende Merkmale besitzen, die sie zu Beförderungen in Luftfahrzeugen ungeeignet machen.</w:t>
      </w:r>
    </w:p>
    <w:p>
      <w:r>
        <w:rPr>
          <w:color w:val="555555"/>
          <w:sz w:val="17"/>
        </w:rPr>
        <w:t xml:space="preserve">Zitiervorschlag: § 76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