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LuftVZO — Nebenbestimmungen und Aufsicht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 kann mit Auflagen verbunden und befristet werden. § 20 Abs. 3 Satz 1 bis 4 des Luftverkehrsgesetzes gilt entsprechend.</w:t>
      </w:r>
    </w:p>
    <w:p>
      <w:r>
        <w:t xml:space="preserve">(2) Für die Aufsicht gilt § 65 entsprechend.</w:t>
      </w:r>
    </w:p>
    <w:p>
      <w:r>
        <w:rPr>
          <w:color w:val="555555"/>
          <w:sz w:val="17"/>
        </w:rPr>
        <w:t xml:space="preserve">Zitiervorschlag: § 75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