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LuftVZO — Aufsicht</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nach diesem Abschnitt jeweils zuständige Behörde ist befugt zu prüfen, ob die für eine Genehmigung erforderlichen Voraussetzungen fortbestehen, die Nebenbestimmungen einer Genehmigung beachtet und der Betrieb unter Einhaltung der gesetzlichen Verpflichtungen ordnungsgemäß durchgeführt wird. Sie kann die hierfür notwendigen Auskünfte verlangen und Überprüfungen der Luftfahrzeuge und des Unternehmens durchführen.</w:t>
      </w:r>
    </w:p>
    <w:p>
      <w:r>
        <w:t xml:space="preserve">(2) Hat das Bundesministerium für Verkehr und digitale Infrastruktur eine andere Stelle zur Genehmigungsbehörde bestimmt, hat diese die Befugnisse nach Absatz 1.</w:t>
      </w:r>
    </w:p>
    <w:p>
      <w:r>
        <w:rPr>
          <w:color w:val="555555"/>
          <w:sz w:val="17"/>
        </w:rPr>
        <w:t xml:space="preserve">Zitiervorschlag: § 65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