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63d LuftVZO — Nichtbeförderung bei Überbuchung, Annullierung und Verspätung von Flügen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Durchführung der Verordnung (EG) Nr. 261/2004 des Europäischen Parlaments und des Rates vom 11. Februar 2004 über eine gemeinsame Regelung für Ausgleichs- und Unterstützungsleistungen für Fluggäste im Fall der Nichtbeförderung und bei Annullierung oder großer Verspätung von Flügen und zur Aufhebung der Verordnung (EWG) Nr. 295/91 (ABl. EU Nr. L 46 S. 1) wird bestimmt:</w:t>
      </w:r>
    </w:p>
    <w:p>
      <w:pPr>
        <w:ind w:left="420"/>
      </w:pPr>
      <w:r>
        <w:t xml:space="preserve">1. Zuständige Stelle für die Durchführung der Verordnung (EG) Nr. 261/2004 nach Artikel 16 Abs. 1 ist das Luftfahrt-Bundesamt. Es ist zugleich Beschwerdestelle nach Artikel 16 Abs. 2 der Verordnung (EG) Nr. 261/2004;</w:t>
      </w:r>
    </w:p>
    <w:p>
      <w:pPr>
        <w:ind w:left="420"/>
      </w:pPr>
      <w:r>
        <w:t xml:space="preserve">2. das Luftfahrt-Bundesamt kann die für die Wahrnehmung seiner Aufgaben notwendigen Auskünfte verlangen und Überprüfungen der Luftfahrzeuge und des Unternehmens durchführen;</w:t>
      </w:r>
    </w:p>
    <w:p>
      <w:pPr>
        <w:ind w:left="420"/>
      </w:pPr>
      <w:r>
        <w:t xml:space="preserve">3. die nach Artikel 14 Abs. 1 und 2 der Verordnung (EG) Nr. 261/2004 zu erbringenden schriftlichen Hinweise und Angaben müssen in deutscher Sprache abgefasst sein; an Flugplätzen im Sinn des § 12 Abs. 1 des Verkehrsstatistikgesetzes sind die Hinweise und Angaben zusätzlich in englischer Sprache abzufassen;</w:t>
      </w:r>
    </w:p>
    <w:p>
      <w:pPr>
        <w:ind w:left="420"/>
      </w:pPr>
      <w:r>
        <w:t xml:space="preserve">4. die Luftfahrtunternehmen haben ihren Passagieren sowie dem Luftfahrt-Bundesamt auf Verlangen die für die Abwicklung von Ansprüchen und zur Entgegennahme von Beschwerden verantwortliche Stelle im Unternehmen mit allen notwendigen Kontaktangaben schriftlich oder elektronisch mitzuteilen. Das Luftfahrt-Bundesamt kann diese Angaben an Personen und Stellen, die ein berechtigtes Interesse nachweisen, weitergeben. Die Verfolgung von Ansprüchen und Beschwerden muss in deutscher Sprache möglich sein.</w:t>
      </w:r>
    </w:p>
    <w:p>
      <w:r>
        <w:rPr>
          <w:color w:val="555555"/>
          <w:sz w:val="17"/>
        </w:rPr>
        <w:t xml:space="preserve">Zitiervorschlag: § 63d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https://recht.nulegal.eu/gesetze/LuftVZO/63d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