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LuftVZO — Genehmigungsbehörde, Zulassungsbehörde</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Betriebsgenehmigung für die gewerbsmäßige Beförderung von Personen oder Sachen nach der Verordnung (EG) Nr. 1008/2008 des Europäischen Parlaments und des Rates vom 24. September 2008 über gemeinsame Vorschriften für die Durchführung von Luftverkehrsdiensten in der Gemeinschaft (ABl. L 293 vom 31.10.2008, S. 3) in der jeweils geltenden Fassung wird erteilt</w:t>
      </w:r>
    </w:p>
    <w:p>
      <w:pPr>
        <w:ind w:left="420"/>
      </w:pPr>
      <w:r>
        <w:t xml:space="preserve">1. für Luftfahrtunternehmen, deren Luftfahrzeuge ausschließlich nach Sichtflugregeln betrieben werden, von der Luftfahrtbehörde des Landes, in dem das Unternehmen seinen Sitz hat,</w:t>
      </w:r>
    </w:p>
    <w:p>
      <w:pPr>
        <w:ind w:left="420"/>
      </w:pPr>
      <w:r>
        <w:t xml:space="preserve">2. für andere Luftfahrtunternehmen von dem Bundesministerium für Verkehr und digitale Infrastruktur oder einer anderen von ihm bestimmten Stelle.</w:t>
      </w:r>
    </w:p>
    <w:p>
      <w:r>
        <w:t xml:space="preserve">Die Genehmigung umfasst nicht die Durchführung von Bodenabfertigungsdiensten durch das Luftfahrtunternehmen.</w:t>
      </w:r>
    </w:p>
    <w:p>
      <w:r>
        <w:t xml:space="preserve">(2) Die Zulassung von Luftsicherheitsplänen wird von dem Bundesministerium für Verkehr und digitale Infrastruktur oder einer anderen von ihm bestimmten Stelle erteilt.</w:t>
      </w:r>
    </w:p>
    <w:p>
      <w:r>
        <w:t xml:space="preserve">(3) Das Verfahren für die Erteilung des Luftverkehrsbetreiberzeugnisses nach der Verordnung (EG) Nr. 1008/2008 des Europäischen Parlaments und des Rates vom 24. September 2008 über gemeinsame Vorschriften für die Durchführung von Luftverkehrsdiensten in der Gemeinschaft (ABl. L 293 vom 31.10.2008, S. 3) richtet sich</w:t>
      </w:r>
    </w:p>
    <w:p>
      <w:pPr>
        <w:ind w:left="420"/>
      </w:pPr>
      <w:r>
        <w:t xml:space="preserve">1. bei Flugzeugen, die zur gewerbsmäßigen Beförderung von Personen und Sachen eingesetzt werden, nach Anhang III der Verordnung (EWG) Nr. 3922/91 des Rates vom 16. Dezember 1991 in Bezug auf gemeinsame technische Vorschriften und Verwaltungsverfahren für den gewerblichen Luftverkehr mit Flächenflugzeugen (ABl. L 373 vom 31.12.1991, S. 4), die zuletzt durch die Verordnung (EG) Nr. 859/2008 (ABl. L 254 vom 20.9.2008, S. 1) geändert worden ist, in der jeweils geltenden Fassung;</w:t>
      </w:r>
    </w:p>
    <w:p>
      <w:pPr>
        <w:ind w:left="420"/>
      </w:pPr>
      <w:r>
        <w:t xml:space="preserve">2. bei Hubschraubern, die zur gewerbsmäßigen Beförderung von Personen und Sachen eingesetzt werden, nach den Bestimmungen der JAR-OPS 3.175ff. der Joint Aviation Authorities über die gewerbsmäßige Beförderung von Personen und Sachen in Hubschraubern in der vom Bundesministerium für Verkehr und digitale Infrastruktur in deutscher Übersetzung bekannt gemachten Fassung (JAR-OPS 3 deutsch) vom 4. August 1998 (BAnz. Nr. 182a vom 29. September 1998).</w:t>
      </w:r>
    </w:p>
    <w:p>
      <w:r>
        <w:rPr>
          <w:color w:val="555555"/>
          <w:sz w:val="17"/>
        </w:rPr>
        <w:t xml:space="preserve">Zitiervorschlag: § 61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