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LuftVZO — Erteilung und Umfang der Genehmigung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Genehmigung eines Segelfluggeländes gilt § 42 Abs. 1 entsprechend.</w:t>
      </w:r>
    </w:p>
    <w:p>
      <w:r>
        <w:t xml:space="preserve">(2) Die Genehmigungsurkunde muss enthalten</w:t>
      </w:r>
    </w:p>
    <w:p>
      <w:pPr>
        <w:ind w:left="420"/>
      </w:pPr>
      <w:r>
        <w:t xml:space="preserve">1. die § 42 Abs. 2 Nr. 1 bis 3, 9 und 10 entsprechenden Angaben,</w:t>
      </w:r>
    </w:p>
    <w:p>
      <w:pPr>
        <w:ind w:left="420"/>
      </w:pPr>
      <w:r>
        <w:t xml:space="preserve">2. gegebenenfalls die Bestimmung eines beschränkten Bauschutzbereichs,</w:t>
      </w:r>
    </w:p>
    <w:p>
      <w:pPr>
        <w:ind w:left="420"/>
      </w:pPr>
      <w:r>
        <w:t xml:space="preserve">3. die Arten der in § 54 bezeichneten Luftfahrzeuge, die das Segelfluggelände benutzen dürfen,</w:t>
      </w:r>
    </w:p>
    <w:p>
      <w:pPr>
        <w:ind w:left="420"/>
      </w:pPr>
      <w:r>
        <w:t xml:space="preserve">4. die Angabe der Startarten.</w:t>
      </w:r>
    </w:p>
    <w:p>
      <w:r>
        <w:t xml:space="preserve">(3) Die Genehmigungsbehörde macht die Genehmigung des Segelfluggeländes bei Eröffnung des Betriebes in den Nachrichten für Luftfahrer bekannt; bei Bestimmung eines beschränkten Bauschutzbereiches veranlasst sie ferner die Bekanntmachung in den Amtsblättern der Länder, auf die sich der Bauschutzbereich erstreckt. Die Bekanntmachung muss die Angaben nach Absatz 2 Nr. 1, 2 und 3 enthalten; § 42 Abs. 4 Satz 2 zweiter Halbsatz gilt entsprechend.</w:t>
      </w:r>
    </w:p>
    <w:p>
      <w:r>
        <w:rPr>
          <w:color w:val="555555"/>
          <w:sz w:val="17"/>
        </w:rPr>
        <w:t xml:space="preserve">Zitiervorschlag: § 57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