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56 LuftVZO — Antrag auf Erteilung der Genehmigung</w:t>
      </w:r>
    </w:p>
    <w:p>
      <w:r>
        <w:rPr>
          <w:color w:val="555555"/>
          <w:sz w:val="18"/>
        </w:rPr>
        <w:t xml:space="preserve">Luftverkehrs-Zulassungs-Ordnung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Antrag auf Erteilung der Genehmigung muss enthalten</w:t>
      </w:r>
    </w:p>
    <w:p>
      <w:pPr>
        <w:ind w:left="420"/>
      </w:pPr>
      <w:r>
        <w:t xml:space="preserve">1. die § 40 Abs. 1 Nr. 1, 2, 4 und 5 entsprechenden Angaben,</w:t>
      </w:r>
    </w:p>
    <w:p>
      <w:pPr>
        <w:ind w:left="420"/>
      </w:pPr>
      <w:r>
        <w:t xml:space="preserve">2. den Nachweis der wirtschaftlichen Leistungsfähigkeit des Antragstellers, wenn das Segelfluggelände einen beschränkten Bauschutzbereich erhalten soll,</w:t>
      </w:r>
    </w:p>
    <w:p>
      <w:pPr>
        <w:ind w:left="780"/>
      </w:pPr>
      <w:r>
        <w:t xml:space="preserve">a) einen Übersichtsplan im Maßstab 1:25.000 mit Höhenschichtlinien, aus dem ersichtlich sind das Segelfluggelände mit seiner Umgrenzung und dem anschließenden Gebiet bis zu einer Entfernung von einem Kilometer, die An- und Abflugrichtungen, die Luftfahrthindernisse und - soweit vorgesehen - der beschränkte Bauschutzbereich mit dem Bezugspunkt des Segelfluggeländes sowie einen Vorschlag für Höhenfestlegungen nach den §§ 13 und 15 des Luftverkehrsgesetzes,</w:t>
      </w:r>
    </w:p>
    <w:p>
      <w:pPr>
        <w:ind w:left="780"/>
      </w:pPr>
      <w:r>
        <w:t xml:space="preserve">b) einen Lageplan des Gebietes bis mindestens einen Kilometer von den Enden und bis mindestens 0,5 Kilometer von den Seiten der Start- und Landeflächen im Maßstab 1:5.000 oder 1:2.500, aus dem ersichtlich sind die unter Buchstabe a bezeichneten Eintragungen und die Start- und Landeflächen, die Aufstellplätze für Startwinden und die baulichen Anlagen mit Bauhöhen,</w:t>
      </w:r>
    </w:p>
    <w:p>
      <w:pPr>
        <w:ind w:left="420"/>
      </w:pPr>
      <w:r>
        <w:t xml:space="preserve">4. das Gutachten eines Sachverständigen über die Eignung des Segelfluggeländes.</w:t>
      </w:r>
    </w:p>
    <w:p>
      <w:r>
        <w:t xml:space="preserve">(2) § 40 Abs. 2 und § 41 sind sinngemäß anzuwenden. Auf Antrag kann die Genehmigungsbehörde Ausnahmen von den Antragserfordernissen des Absatzes 1 zulassen.</w:t>
      </w:r>
    </w:p>
    <w:p>
      <w:r>
        <w:rPr>
          <w:color w:val="555555"/>
          <w:sz w:val="17"/>
        </w:rPr>
        <w:t xml:space="preserve">Zitiervorschlag: § 56 LuftVZO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https://recht.nulegal.eu/gesetze/LuftVZO/56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