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LuftVZO — Begriffsbestimmung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Segelfluggelände sind Flugplätze, die für die Benutzung durch Segelflugzeuge und nicht selbststartende Motorsegler bestimmt sind.</w:t>
      </w:r>
    </w:p>
    <w:p>
      <w:r>
        <w:t xml:space="preserve">(2) Die Genehmigung zur Anlage und zum Betrieb eines Segelfluggeländes kann auf die Benutzung durch selbststartende Motorsegler, Freiballone, Luftsportgeräte und Luftfahrzeuge, soweit diese bestimmungsgemäß zum Schleppen von Segelflugzeugen oder Motorseglern oder Hängegleitern oder zum Absetzen von Fallschirmspringern Verwendung finden, erstreckt werden. Die Erstreckung erfolgt auf Antrag des Antragstellers der Genehmigung oder bei bereits erteilter Genehmigung auf Antrag des Halters des Segelfluggeländes.</w:t>
      </w:r>
    </w:p>
    <w:p>
      <w:r>
        <w:rPr>
          <w:color w:val="555555"/>
          <w:sz w:val="17"/>
        </w:rPr>
        <w:t xml:space="preserve">Zitiervorschlag: § 54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