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LuftVZO — Anzuwendende Vorschriften</w:t>
      </w:r>
    </w:p>
    <w:p>
      <w:r>
        <w:rPr>
          <w:color w:val="555555"/>
          <w:sz w:val="18"/>
        </w:rPr>
        <w:t xml:space="preserve">Luftverkehrs-Zulassungs-Ordnung</w:t>
      </w:r>
    </w:p>
    <w:p>
      <w:r>
        <w:rPr>
          <w:color w:val="555555"/>
          <w:sz w:val="18"/>
        </w:rPr>
        <w:t xml:space="preserve">Stand: 01.01.2025 (konsolidierte Textfassung, kein amtliches Inkrafttretensdatum)</w:t>
      </w:r>
    </w:p>
    <w:p>
      <w:r>
        <w:t xml:space="preserve">(1) Für die Betriebsaufnahme und die Pflichten des Landeplatzhalters gelten § 41 Abs. 1, § 43 Abs. 1, §§ 44 und 45 Abs. 1 bis 3 und § 46 Abs. 5 sowie § 46a, für die Aufsicht § 47 Abs. 1 Nr. 1 bis 3, Abs. 2 Satz 1 und Abs. 3 und für die Rücknahme oder den Widerruf der Genehmigung § 48 entsprechend. Bei Landeplätzen, die ausschließlich dem Betrieb von Luftsportgeräten dienen, obliegt die Aufsicht dem Beauftragten.</w:t>
      </w:r>
    </w:p>
    <w:p>
      <w:r>
        <w:t xml:space="preserve">(2) Für die Sicherung von Landeplätzen ist § 46 Abs. 1 bis 3 und 5 mit der Maßgabe anzuwenden, dass die Sicherungsmaßnahmen auch auf Teile des Landeplatzes und bestimmte Zeiten beschränkt werden können. Das Betreten der eingefriedeten oder durch Verbotsschilder gekennzeichneten Teile des Landeplatzes ist Unbefugten verboten.</w:t>
      </w:r>
    </w:p>
    <w:p>
      <w:r>
        <w:t xml:space="preserve">(3) Der Landeplatzhalter hat auf Verlangen der Genehmigungsbehörde eine oder mehrere Personen als Flugleiter zu bestellen.</w:t>
      </w:r>
    </w:p>
    <w:p>
      <w:r>
        <w:t xml:space="preserve">(4) Bei Landeplätzen mit Instrumentenflugbetrieb gelten § 43 Abs. 2, §§ 45a, 45b, 47 Abs. 1 Nr. 4 und 5, Abs. 2 Satz 2 entsprechend. § 45c gilt mit der Maßgabe, dass der Flugleiter zum Beauftragten für das Sicherheitsmanagementsystem bestellt werden kann. Bei Landeplätzen ohne Instrumentenflugbetrieb finden die Sätze 1 und 2 Anwendung, wenn die zuständige Behörde auf Grund des Umfanges des Flugbetriebes oder der Erhöhung der Gefahrenlage die Einführung des Sicherheitsmanagementsystems gegenüber dem Landeplatzhalter anordnet.</w:t>
      </w:r>
    </w:p>
    <w:p>
      <w:r>
        <w:t xml:space="preserve">(5) Für Verkehrslandeplätze, für die ein Zeugnis nach Artikel 8a der Verordnung (EG) Nr. 216/2008 erforderlich ist, gelten § 44 Absatz 1 Nummer 2 und die §§ 45d und 47 Absatz 2a entsprechend.</w:t>
      </w:r>
    </w:p>
    <w:p>
      <w:r>
        <w:rPr>
          <w:color w:val="555555"/>
          <w:sz w:val="17"/>
        </w:rPr>
        <w:t xml:space="preserve">Zitiervorschlag: § 53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