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LuftVZO — Erteilung und Umfang der Genehmigung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Genehmigung des Landeplatzes gilt § 42 Abs. 1 entsprechend.</w:t>
      </w:r>
    </w:p>
    <w:p>
      <w:r>
        <w:t xml:space="preserve">(2) Die Genehmigungsurkunde muss enthalten</w:t>
      </w:r>
    </w:p>
    <w:p>
      <w:pPr>
        <w:ind w:left="420"/>
      </w:pPr>
      <w:r>
        <w:t xml:space="preserve">1. die § 42 Abs. 2 Nr. 1 bis 3, 7 bis 10 entsprechenden Angaben,</w:t>
      </w:r>
    </w:p>
    <w:p>
      <w:pPr>
        <w:ind w:left="420"/>
      </w:pPr>
      <w:r>
        <w:t xml:space="preserve">2. die Richtung und Länge der Start- und Landeflächen und gegebenenfalls der Start- und Landebahnen,</w:t>
      </w:r>
    </w:p>
    <w:p>
      <w:pPr>
        <w:ind w:left="420"/>
      </w:pPr>
      <w:r>
        <w:t xml:space="preserve">3. gegebenenfalls die Bestimmung eines beschränkten Bauschutzbereiches.</w:t>
      </w:r>
    </w:p>
    <w:p>
      <w:r>
        <w:t xml:space="preserve">(3) § 42 Abs. 4 gilt entsprechend.</w:t>
      </w:r>
    </w:p>
    <w:p>
      <w:r>
        <w:rPr>
          <w:color w:val="555555"/>
          <w:sz w:val="17"/>
        </w:rPr>
        <w:t xml:space="preserve">Zitiervorschlag: § 52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