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LuftVZO — Antrag auf Erteilung der Genehmigung</w:t>
      </w:r>
    </w:p>
    <w:p>
      <w:r>
        <w:rPr>
          <w:color w:val="555555"/>
          <w:sz w:val="18"/>
        </w:rPr>
        <w:t xml:space="preserve">Luftverkehrs-Zulassungs-Ordnung</w:t>
      </w:r>
    </w:p>
    <w:p>
      <w:r>
        <w:rPr>
          <w:color w:val="555555"/>
          <w:sz w:val="18"/>
        </w:rPr>
        <w:t xml:space="preserve">Stand: 10.06.2019 (konsolidierte Textfassung, kein amtliches Inkrafttretensdatum)</w:t>
      </w:r>
    </w:p>
    <w:p>
      <w:r>
        <w:t xml:space="preserve">(1) Der Antrag auf Erteilung der Genehmigung eines Landeplatzes für Landflugzeuge muss enthalten</w:t>
      </w:r>
    </w:p>
    <w:p>
      <w:pPr>
        <w:ind w:left="420"/>
      </w:pPr>
      <w:r>
        <w:t xml:space="preserve">1. die § 40 Abs. 1 Nr. 1 bis 5 und 11 entsprechenden Angaben und Nachweise;</w:t>
      </w:r>
    </w:p>
    <w:p>
      <w:pPr>
        <w:ind w:left="780"/>
      </w:pPr>
      <w:r>
        <w:t xml:space="preserve">a) einen Übersichtsplan im Maßstab 1:25.000 mit Höhenschichtlinien, aus dem ersichtlich sind der Landeplatz mit seiner Umgrenzung und dem anschließenden Gebiet bis zu einer Entfernung von drei Kilometern, die Anfluggrundlinien, die Start- und Landeflächen, die Bebauungszone mit Bauhöhen, die Luftfahrthindernisse und - soweit vorgesehen - die Start- und Landebahnen, die Rollbahnen, der beschränkte Bauschutzbereich mit dem Bezugspunkt des Landeplatzes sowie ein Vorschlag für Höhenfestlegungen nach den §§ 13 und 15 des Luftverkehrsgesetzes, bei Wasserlandeplätzen außerdem die in § 40 Abs. 1 Nr. 6 Buchstabe a für Wasserflughäfen vorgeschriebenen zusätzlichen Angaben;</w:t>
      </w:r>
    </w:p>
    <w:p>
      <w:pPr>
        <w:ind w:left="780"/>
      </w:pPr>
      <w:r>
        <w:t xml:space="preserve">b) einen Lageplan des Gebietes bis mindestens einen Kilometer von den Enden der Start- und Landeflächen und bis mindestens 0,5 Kilometer beiderseits der Anfluggrundlinien im Maßstab 1:5.000 oder 1:2.500 mit den unter Buchstabe a bezeichneten Eintragungen;</w:t>
      </w:r>
    </w:p>
    <w:p>
      <w:pPr>
        <w:ind w:left="780"/>
      </w:pPr>
      <w:r>
        <w:t xml:space="preserve">a) je einen Längsschnitt durch jede Anfluggrundlinie bis mindestens drei Kilometer von den Enden der zugehörigen Start- und Landeflächen im Längenmaßstab 1:25.000 und im Höhenmaßstab 1:2.500 unter Kenntlichmachung der An- und Abflugflächen; die höchsten Erhebungen in einer Fläche mit der vorgenannten Länge der jeweiligen Anfluggrundlinie und mit einer Breite von je 150 Metern beiderseits dieser Linie sind deutlich unterscheidbar auf die Längsschnitte zu projizieren; das Gleiche gilt für die tiefsten Vertiefungen in einer Fläche mit einer Länge bis mindestens 250 Metern von den Enden der zugehörigen Start- und Landefläche und mit einer Breite von mindestens je 75 Metern beiderseits der Anfluggrundlinie;</w:t>
      </w:r>
    </w:p>
    <w:p>
      <w:pPr>
        <w:ind w:left="780"/>
      </w:pPr>
      <w:r>
        <w:t xml:space="preserve">b) je einen Längsschnitt durch die unter Buchstabe a bezeichneten Anfluggrundlinien bis mindestens 1 Kilometer von den Enden der Start- und Landeflächen im Längenmaßstab 1:5.000 und im Höhenmaßstab 1:500 oder im Längenmaßstab 1:2.500 und im Höhenmaßstab 1:250 mit den unter Buchstabe a bezeichneten Eintragungen;</w:t>
      </w:r>
    </w:p>
    <w:p>
      <w:pPr>
        <w:ind w:left="780"/>
      </w:pPr>
      <w:r>
        <w:t xml:space="preserve">c) Querschnitte durch die Start- und Landeflächen im Maßstab 1:2.500;</w:t>
      </w:r>
    </w:p>
    <w:p>
      <w:pPr>
        <w:ind w:left="420"/>
      </w:pPr>
      <w:r>
        <w:t xml:space="preserve">4. das Gutachten eines Sachverständigen über die Eignung des Landeplatzes;</w:t>
      </w:r>
    </w:p>
    <w:p>
      <w:pPr>
        <w:ind w:left="420"/>
      </w:pPr>
      <w:r>
        <w:t xml:space="preserve">5. ein Gutachten des Deutschen Wetterdienstes über die flugklimatologischen Verhältnisse des Landeplatzes und seiner Umgebung.</w:t>
      </w:r>
    </w:p>
    <w:p>
      <w:r>
        <w:t xml:space="preserve">(2) § 40 Abs. 2 und § 41 gelten entsprechend. Auf Antrag kann die Genehmigungsbehörde Ausnahmen von den Antragserfordernissen des Absatzes 1 zulassen.</w:t>
      </w:r>
    </w:p>
    <w:p>
      <w:r>
        <w:t xml:space="preserve">(3) Für Landeplätze, die nicht oder nicht nur dem Verkehr von Landflugzeugen dienen sollen, bestimmt die Genehmigungsbehörde die Antragserfordernisse.</w:t>
      </w:r>
    </w:p>
    <w:p>
      <w:r>
        <w:rPr>
          <w:color w:val="555555"/>
          <w:sz w:val="17"/>
        </w:rPr>
        <w:t xml:space="preserve">Zitiervorschlag: § 51 LuftVZO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https://recht.nulegal.eu/gesetze/LuftVZO/51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