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LuftVZO — Lärmbedingte Betriebsbeschränkungen an einem Flughafen</w:t>
      </w:r>
    </w:p>
    <w:p>
      <w:r>
        <w:rPr>
          <w:color w:val="555555"/>
          <w:sz w:val="18"/>
        </w:rPr>
        <w:t xml:space="preserve">Luftverkehrs-Zulassungs-Ordnung</w:t>
      </w:r>
    </w:p>
    <w:p>
      <w:r>
        <w:rPr>
          <w:color w:val="555555"/>
          <w:sz w:val="18"/>
        </w:rPr>
        <w:t xml:space="preserve">Außer Kraft: § 48b ist seit 01.01.2025 nicht mehr im LuftVZO enthalten. Angezeigt wird die letzte bekannte Fassung, Stand 10.06.2019.</w:t>
      </w:r>
    </w:p>
    <w:p>
      <w:r>
        <w:t xml:space="preserve">(1) Die Luftfahrtbehörde kann unbeschadet anderweitig bereits bestehender oder möglicher Betriebsbeschränkungen für einen Flughafen zur Verminderung des vom Flugbetrieb ausgehenden Lärms den Zugang von knapp die Vorschriften erfüllenden zivilen Unterschallstrahlflugzeugen beschränken.</w:t>
      </w:r>
    </w:p>
    <w:p>
      <w:r>
        <w:t xml:space="preserve">(2) Bei einem Stadtflughafen kann die zuständige Luftfahrtbehörde wegen der objektiv höheren Lärmsensitivität Maßnahmen im Sinne von § 48a Nr. 5 hinsichtlich der in Nummer 4 dieser Vorschrift genannten Luftfahrzeuge anwenden, sofern die im Band I Teil II Kapitel 3 des Anhangs 16 des Abkommens vom 7. Dezember 1944 über die Internationale Zivilluftfahrt (BGBl. 1956 II S. 411) festgelegten Höchstwerte um eine kumulative Marge von bis zu zehn EPNdB (Effective Perceived Noise in Dezibel) unterschritten werden. Dabei ist die kumulative Marge die in EPNdB ausgedrückte Zahl, die man durch Addition einzelner Margen (d. h. der Differenzen zwischen dem bescheinigten Lärmpegel und dem zulässigen Lärmhöchstpegel) jeder der drei Referenzlärmmesspunkte erhält, wie sie im Band I Teil II Kapitel 3 des Anhangs 16 des Abkommens über die Internationale Zivilluftfahrt festgelegt sind.</w:t>
      </w:r>
    </w:p>
    <w:p>
      <w:r>
        <w:t xml:space="preserve">(3) Betriebsbeschränkungen nach Absatz 1 oder 2 können nur dann ausgesprochen werden, wenn unter Beachtung des ausgewogenen Ansatzes alle danach möglichen Maßnahmen zur Lösung des Lärmproblems an dem jeweiligen Flughafen geprüft worden sind. Die voraussichtlichen Kosten der Betriebsbeschränkungen dürfen unter Berücksichtigung der Besonderheiten des Flughafens, insbesondere im Hinblick auf bestehende Verpflichtungen, zu dem wahrscheinlichen Nutzen der Betriebsbeschränkungen nicht außer Verhältnis stehen.</w:t>
      </w:r>
    </w:p>
    <w:p>
      <w:r>
        <w:t xml:space="preserve">(4) Die Luftfahrtbehörde stellt sicher, dass Betriebsbeschränkungen im Rahmen bestehender Verkehrsrechte ohne Diskriminierung hinsichtlich der Staatszugehörigkeit der betroffenen Luftfahrtunternehmen oder des Flugzeugherstellers des betroffenen Fluggerätes in wettbewerbsneutraler Weise erfolgen.</w:t>
      </w:r>
    </w:p>
    <w:p>
      <w:r>
        <w:rPr>
          <w:color w:val="555555"/>
          <w:sz w:val="17"/>
        </w:rPr>
        <w:t xml:space="preserve">Zitiervorschlag: § 48b LuftVZO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