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LuftVZO — Begriffsbestimmungen</w:t>
      </w:r>
    </w:p>
    <w:p>
      <w:r>
        <w:rPr>
          <w:color w:val="555555"/>
          <w:sz w:val="18"/>
        </w:rPr>
        <w:t xml:space="preserve">Luftverkehrs-Zulassungs-Ordnung</w:t>
      </w:r>
    </w:p>
    <w:p>
      <w:r>
        <w:rPr>
          <w:color w:val="555555"/>
          <w:sz w:val="18"/>
        </w:rPr>
        <w:t xml:space="preserve">Außer Kraft: § 48a ist seit 01.01.2025 nicht mehr im LuftVZO enthalten. Angezeigt wird die letzte bekannte Fassung, Stand 10.06.2019.</w:t>
      </w:r>
    </w:p>
    <w:p>
      <w:r>
        <w:t xml:space="preserve">Im Sinne der §§ 48a bis 48f ist:</w:t>
      </w:r>
    </w:p>
    <w:p>
      <w:pPr>
        <w:ind w:left="420"/>
      </w:pPr>
      <w:r>
        <w:t xml:space="preserve">1. "Flughafen" ein Zivilflughafen mit mehr als 50.000 Flugbewegungen ziviler Unterschallstrahlflugzeuge im Kalenderjahr (Starts oder Landungen) unter Berücksichtigung des Durchschnitts der letzten drei Kalenderjahre vor der Anwendung der §§ 48a bis 48f auf dem betreffenden Flughafen;</w:t>
      </w:r>
    </w:p>
    <w:p>
      <w:pPr>
        <w:ind w:left="420"/>
      </w:pPr>
      <w:r>
        <w:t xml:space="preserve">2. "Stadtflughafen" ein ziviler Flughafen, der im Anhang I der Richtlinie 2002/30/EG des Europäischen Parlaments und des Rates vom 26. März 2002 über Regeln und Verfahren für lärmbedingte Betriebsbeschränkungen auf Flughäfen der Gemeinschaft (ABl. EG Nr. L 85 S. 40) aufgeführt ist;</w:t>
      </w:r>
    </w:p>
    <w:p>
      <w:pPr>
        <w:ind w:left="420"/>
      </w:pPr>
      <w:r>
        <w:t xml:space="preserve">3. "ziviles Unterschallstrahlflugzeug" ein Flugzeug mit einer höchstzulässigen Startmasse von 34.000 Kilogramm oder mehr oder dessen Baureihe mit Sitzplätzen für mehr als 19 Passagiere zugelassen ist;</w:t>
      </w:r>
    </w:p>
    <w:p>
      <w:pPr>
        <w:ind w:left="420"/>
      </w:pPr>
      <w:r>
        <w:t xml:space="preserve">4. "knapp die Vorschriften erfüllendes Luftfahrzeug" ein ziviles Unterschallstrahlflugzeug, das die im Band I Teil II Kapitel 3 des Anhangs 16 des Abkommens vom 7. Dezember 1944 über die Internationale Zivilluftfahrt (BGBl. 1956 II S. 411) festgelegten Höchstwerte um eine kumulative Marge von höchstens fünf EPNdB (Effektive Perceived Noise in Dezibel) unterschreitet, wobei die kumulative Marge die in EPNdB ausgedrückte Zahl ist, die man durch Addieren der einzelnen Margen (d. h. der Differenzen zwischen dem bescheinigten Lärmpegel und dem zulässigen Lärmhöchstpegel) jeder der drei Referenzlärmmesspunkte, wie sie im Band I Teil II Kapitel 3 des Anhangs 16 des Abkommens über die Internationale Zivilluftfahrt festgelegt sind, erhält;</w:t>
      </w:r>
    </w:p>
    <w:p>
      <w:pPr>
        <w:ind w:left="420"/>
      </w:pPr>
      <w:r>
        <w:t xml:space="preserve">5. "Betriebsbeschränkung" eine lärmrelevante Maßnahme zur Begrenzung oder Reduzierung des Zugangs ziviler Unterschallstrahlflugzeuge zu einem Flughafen. Darin eingeschlossen sind Betriebsbeschränkungen, durch die knapp die Vorschriften erfüllende Luftfahrzeuge von bestimmten Flughäfen abgezogen werden sollen sowie partielle Betriebsbeschränkungen, die den Betrieb ziviler Unterschallstrahlflugzeuge je nach Zeitraum einschränken;</w:t>
      </w:r>
    </w:p>
    <w:p>
      <w:pPr>
        <w:ind w:left="420"/>
      </w:pPr>
      <w:r>
        <w:t xml:space="preserve">6. "ausgewogener Ansatz" der Ansatz, innerhalb dessen die Luftfahrtbehörde die möglichen Maßnahmen zur Lösung des Lärmproblems auf einem Flughafen prüft, insbesondere die absehbare Auswirkung einer Reduzierung des Fluglärms an der Quelle, der Flächennutzungsplanung und -verwaltung, der lärmmindernden Betriebsverfahren und Betriebsbeschränkungen;</w:t>
      </w:r>
    </w:p>
    <w:p>
      <w:pPr>
        <w:ind w:left="420"/>
      </w:pPr>
      <w:r>
        <w:t xml:space="preserve">7. "Entwicklungsland" ein Staat, der von der Organisation für wirtschaftliche Zusammenarbeit und Entwicklung (OECD) in der Liste der Empfänger von offizieller Entwicklungshilfe - Teil 1 in der jeweils zuletzt veröffentlichten Fassung erfasst ist. Dies gilt nicht für den Fall, dass ein dort genannter Staat Vertragsstaat der Internationalen Zivilluftfahrt Organisation (ICAO) ist und dort einen Beitrag leistet, der über dem von dieser Organisation festgelegten Mindestbeitragssatz liegt. Für Staaten, die nicht Vertragsstaaten der Internationalen Zivilluftfahrt Organisation sind, ist die Einstufung der Organisation für wirtschaftliche Zusammenarbeit und Entwicklung maßgeblich;</w:t>
      </w:r>
    </w:p>
    <w:p>
      <w:pPr>
        <w:ind w:left="420"/>
      </w:pPr>
      <w:r>
        <w:t xml:space="preserve">8. "Betroffener" eine natürliche oder juristische Person, die von Lärmminderungsmaßnahmen, einschließlich Betriebsbeschränkungen betroffen ist oder betroffen werden kann oder ein berechtigtes Interesse an solchen Maßnahmen hat.</w:t>
      </w:r>
    </w:p>
    <w:p>
      <w:r>
        <w:rPr>
          <w:color w:val="555555"/>
          <w:sz w:val="17"/>
        </w:rPr>
        <w:t xml:space="preserve">Zitiervorschlag: § 48a LuftVZO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