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47 LuftVZO — Aufsicht</w:t>
      </w:r>
    </w:p>
    <w:p>
      <w:r>
        <w:rPr>
          <w:color w:val="555555"/>
          <w:sz w:val="18"/>
        </w:rPr>
        <w:t xml:space="preserve">Luftverkehrs-Zulassungs-Ordnung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Genehmigungsbehörde ist befugt zu prüfen, ob</w:t>
      </w:r>
    </w:p>
    <w:p>
      <w:pPr>
        <w:ind w:left="420"/>
      </w:pPr>
      <w:r>
        <w:t xml:space="preserve">1. der bauliche und betriebliche Zustand des Flughafens entsprechend der Genehmigung fortbesteht,</w:t>
      </w:r>
    </w:p>
    <w:p>
      <w:pPr>
        <w:ind w:left="420"/>
      </w:pPr>
      <w:r>
        <w:t xml:space="preserve">2. die erteilten Auflagen eingehalten werden,</w:t>
      </w:r>
    </w:p>
    <w:p>
      <w:pPr>
        <w:ind w:left="420"/>
      </w:pPr>
      <w:r>
        <w:t xml:space="preserve">3. der Flughafenbetrieb ordnungsgemäß durchgeführt wird,</w:t>
      </w:r>
    </w:p>
    <w:p>
      <w:pPr>
        <w:ind w:left="420"/>
      </w:pPr>
      <w:r>
        <w:t xml:space="preserve">4. das Sicherheitsmanagementsystem eingerichtet, betrieben und fortentwickelt wird und</w:t>
      </w:r>
    </w:p>
    <w:p>
      <w:pPr>
        <w:ind w:left="420"/>
      </w:pPr>
      <w:r>
        <w:t xml:space="preserve">5. die im Flugplatzhandbuch enthaltenen Informationen zutreffen und die vorgesehenen Verfahren zur Gewährleistung der Betriebssicherheit durchführbar sind.</w:t>
      </w:r>
    </w:p>
    <w:p>
      <w:r>
        <w:t xml:space="preserve">(2) Die Genehmigungsbehörde kann den Flughafenunternehmer zur Mitwirkung und zu Auskünften heranziehen, soweit sie es für die Prüfung nach Absatz 1 für erforderlich hält und ist berechtigt, Prüfungen auf dem Flughafen durchzuführen. Die Genehmigungsbehörde ist befugt, Einsicht in die Dokumentationen nach § 45b Abs. 2 Satz 2 zu nehmen.</w:t>
      </w:r>
    </w:p>
    <w:p>
      <w:r>
        <w:t xml:space="preserve">(2a) Die zuständige Luftfahrtbehörde führt die Aufsicht über das Fortbestehen der Voraussetzungen für die Erteilung des Zeugnisses nach Artikel 8a der Verordnung (EG) Nr. 216/2008 nach den Vorgaben von Anhang II ADR.AR.C.005 der Verordnung (EU) Nr. 139/2014. Hierzu richtet die zuständige Luftfahrtbehörde insbesondere ein Aufsichtsprogramm nach Anhang II ADR.AR.C.010 der Verordnung (EU) Nr. 139/2014 ein, in dessen Rahmen sie mindestens alle vier Jahre Audits und Inspektionen durchführt.</w:t>
      </w:r>
    </w:p>
    <w:p>
      <w:r>
        <w:t xml:space="preserve">(3) Die Zuständigkeit anderer Behörden zur Wahrnehmung ihrer Aufgaben auf dem Flughafen bleibt unberührt.</w:t>
      </w:r>
    </w:p>
    <w:p>
      <w:r>
        <w:rPr>
          <w:color w:val="555555"/>
          <w:sz w:val="17"/>
        </w:rPr>
        <w:t xml:space="preserve">Zitiervorschlag: § 47 LuftVZO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https://recht.nulegal.eu/gesetze/LuftVZO/47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