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45b LuftVZO — Sicherheitsmanagementsystem</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Zur Erfüllung der Pflichten nach § 45 Abs. 1 Satz 1 hat das Flughafenunternehmen ein Sicherheitsmanagementsystem einzurichten, zu betreiben, fortzuentwickeln und die damit verbundenen Maßnahmen zu dokumentieren. Dieses System regelt für die betriebliche Sicherheit erhebliche Zuständigkeiten, Verfahren und Betriebsabläufe und enthält Vorgaben darüber, wie seine Umsetzung sichergestellt wird.</w:t>
      </w:r>
    </w:p>
    <w:p>
      <w:r>
        <w:t xml:space="preserve">(2) Das Flughafenunternehmen überprüft in regelmäßigen Abständen durch geeignete Personen die Betriebssicherheit der Abläufe des Flughafens. Die Durchführung der Überprüfungen ist zu dokumentieren. In die Dokumentation sind die erkannten Gefahrenquellen, die im Zuge der Überprüfung geboten erscheinenden Abhilfemaßnahmen und die unmittelbar veranlassten Abhilfemaßnahmen aufzunehmen. Die Dokumentation ist für mindestens zehn Jahre aufzubewahren.</w:t>
      </w:r>
    </w:p>
    <w:p>
      <w:r>
        <w:rPr>
          <w:color w:val="555555"/>
          <w:sz w:val="17"/>
        </w:rPr>
        <w:t xml:space="preserve">Zitiervorschlag: § 45b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https://recht.nulegal.eu/gesetze/LuftVZO/45b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