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LuftVZO — Erhaltungs- und Betriebspflicht</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Das Flughafenunternehmen hat den Flughafen in betriebssicherem Zustand zu halten und ordnungsgemäß zu betreiben. Es hat Vorkommnisse, die den Betrieb des Flughafens wesentlich beeinträchtigen, unverzüglich der Genehmigungsbehörde anzuzeigen.</w:t>
      </w:r>
    </w:p>
    <w:p>
      <w:r>
        <w:t xml:space="preserve">(2) Soweit die Betriebspflicht reicht, darf das Flughafenunternehmen Luftfahrtunternehmen und die zur Luftfahrt Berechtigten nicht ohne sachlich gerechtfertigten Grund unmittelbar oder mittelbar unterschiedlich behandeln. Es kann den zur Luftfahrt und zur Nutzung der Flugplatzeinrichtung Berechtigten insbesondere das Starten, Landen und das Abstellen von Fluggerät verwehren, soweit sie die ihnen gemäß § 43 Abs. 2 obliegenden Verpflichtungen nicht vollständig erfüllen und dies verhältnismäßig ist.</w:t>
      </w:r>
    </w:p>
    <w:p>
      <w:r>
        <w:t xml:space="preserve">(3) Die Genehmigungsbehörde kann das Flughafenunternehmen von der Betriebspflicht befreien.</w:t>
      </w:r>
    </w:p>
    <w:p>
      <w:r>
        <w:t xml:space="preserve">(4) Das Flughafenunternehmen hat eine sachkundige Person für die Leitung des Verkehrs und Betriebes des Flughafens zu bestellen. Zu deren Unterstützung kann die Genehmigungsbehörde das Flughafenunternehmen zur Bestellung einer Vertretung und weiterer Personen verpflichten. Die Bestellung hat das Flughafenunternehmen der zuständigen Behörde anzuzeigen. Die Bestellung ist zu widerrufen, wenn die Behörde die bestellte Person zur Erfüllung der Aufgabe nicht für geeignet und zuverlässig hält.</w:t>
      </w:r>
    </w:p>
    <w:p>
      <w:r>
        <w:t xml:space="preserve">(5) Das Flughafenunternehmen eines Flugplatzes mit Flugverkehrskontrollstelle hat eine Bodenfunkstelle für die Feuerwehrfrequenz zu errichten und den Sprechfunkverkehr aufzuzeichnen.</w:t>
      </w:r>
    </w:p>
    <w:p>
      <w:r>
        <w:rPr>
          <w:color w:val="555555"/>
          <w:sz w:val="17"/>
        </w:rPr>
        <w:t xml:space="preserve">Zitiervorschlag: § 45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https://recht.nulegal.eu/gesetze/LuftVZO/45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