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LuftVZO — Flughafenbenutzungsordnung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Betriebsaufnahme hat das Flughafenunternehmen der Genehmigungsbehörde eine Flughafenbenutzungsordnung zur Genehmigung vorzulegen.</w:t>
      </w:r>
    </w:p>
    <w:p>
      <w:r>
        <w:t xml:space="preserve">(2) Die Flughafenbenutzungsordnung hat Verhaltenspflichten, die dem Auftreten von betriebsbedingten und sonstigen Gefahren entgegenwirken, für Personen vorzusehen, die den Flughafen benutzen oder betreten; insbesondere sind in Übereinstimmung mit dem Sicherheitsmanagementsystem des Flughafens Verhaltenspflichten der Flughafenbenutzer, einschließlich der Pflicht zur Befolgung von Einzelanweisungen, festzulegen.</w:t>
      </w:r>
    </w:p>
    <w:p>
      <w:r>
        <w:t xml:space="preserve">(3) Die Genehmigungsbehörde veranlasst die Bekanntmachung der Flughafenbenutzungsordnung in den Nachrichten für Luftfahrer.</w:t>
      </w:r>
    </w:p>
    <w:p>
      <w:r>
        <w:rPr>
          <w:color w:val="555555"/>
          <w:sz w:val="17"/>
        </w:rPr>
        <w:t xml:space="preserve">Zitiervorschlag: § 43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