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LuftVZO — Anzeigepflichten, Änderungsanträge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Flughafenunternehmen hat beabsichtigte bauliche und betriebliche Erweiterungen und Änderungen der Genehmigungsbehörde rechtzeitig anzuzeigen.</w:t>
      </w:r>
    </w:p>
    <w:p>
      <w:r>
        <w:t xml:space="preserve">(2) Die Genehmigungsbehörde bestimmt die Unterlagen, die von dem Flughafenunternehmen einzureichen sind, wenn der Ausbauplan, die Anlage oder der Betrieb des Flughafens wesentlich erweitert oder geändert werden soll.</w:t>
      </w:r>
    </w:p>
    <w:p>
      <w:r>
        <w:rPr>
          <w:color w:val="555555"/>
          <w:sz w:val="17"/>
        </w:rPr>
        <w:t xml:space="preserve">Zitiervorschlag: § 41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