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LuftVZO — Genehmigungsbehörde</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Die Genehmigung eines Flughafens wird von der Luftfahrtbehörde des Landes erteilt, in dem das Gelände liegt.</w:t>
      </w:r>
    </w:p>
    <w:p>
      <w:r>
        <w:t xml:space="preserve">(2) Erstreckt sich das Gelände oder der Bauschutzbereich auf mehrere Länder, so ist Genehmigungsbehörde und Luftfahrtbehörde nach den Vorschriften des Luftverkehrsgesetzes über Baubeschränkungen im Bauschutzbereich die Behörde des Landes, in dem der überwiegende Teil des Geländes liegt. Die Genehmigung bedarf der Zustimmung der Luftfahrtbehörden der beteiligten Länder.</w:t>
      </w:r>
    </w:p>
    <w:p>
      <w:r>
        <w:rPr>
          <w:color w:val="555555"/>
          <w:sz w:val="17"/>
        </w:rPr>
        <w:t xml:space="preserve">Zitiervorschlag: § 39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