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LuftVZO — Begriffsbestimmungen und Einteilung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Flughäfen sind Flugplätze, die nach Art und Umfang des vorgesehenen Flugbetriebs einer Sicherung durch einen Bauschutzbereich nach § 12 des Luftverkehrsgesetzes bedürfen.</w:t>
      </w:r>
    </w:p>
    <w:p>
      <w:r>
        <w:t xml:space="preserve">(2) Die Flughäfen werden genehmigt als</w:t>
      </w:r>
    </w:p>
    <w:p>
      <w:pPr>
        <w:ind w:left="420"/>
      </w:pPr>
      <w:r>
        <w:t xml:space="preserve">1. Flughäfen des allgemeinen Verkehrs (Verkehrsflughäfen),</w:t>
      </w:r>
    </w:p>
    <w:p>
      <w:pPr>
        <w:ind w:left="420"/>
      </w:pPr>
      <w:r>
        <w:t xml:space="preserve">2. Flughäfen für besondere Zwecke (Sonderflughäfen).</w:t>
      </w:r>
    </w:p>
    <w:p>
      <w:r>
        <w:rPr>
          <w:color w:val="555555"/>
          <w:sz w:val="17"/>
        </w:rPr>
        <w:t xml:space="preserve">Zitiervorschlag: § 38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