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LuftVZO — Zulassungsvoraussetzungen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Musterzulassung von Luftfahrtgerät nach § 1 Abs. 1 muss enthalten</w:t>
      </w:r>
    </w:p>
    <w:p>
      <w:pPr>
        <w:ind w:left="420"/>
      </w:pPr>
      <w:r>
        <w:t xml:space="preserve">1. den Namen, Wohnsitz oder Sitz des Antragstellers und, falls der Hersteller ein anderer ist, auch dessen Namen, Wohnsitz oder Sitz,</w:t>
      </w:r>
    </w:p>
    <w:p>
      <w:pPr>
        <w:ind w:left="420"/>
      </w:pPr>
      <w:r>
        <w:t xml:space="preserve">2. eine Übersichtszeichnung und die grundsätzlichen Gestaltungsmerkmale, einschließlich der vorgeschlagenen Betriebseigenschaften und Betriebsgrenzen.</w:t>
      </w:r>
    </w:p>
    <w:p>
      <w:r>
        <w:t xml:space="preserve">(2) Für das Muster sind die Nachweise zu erbringen, dass</w:t>
      </w:r>
    </w:p>
    <w:p>
      <w:pPr>
        <w:ind w:left="420"/>
      </w:pPr>
      <w:r>
        <w:t xml:space="preserve">1. die Anforderungen der Verkehrssicherheit (Lufttüchtigkeit) nach der Verordnung zur Prüfung von Luftfahrtgerät erfüllt sind,</w:t>
      </w:r>
    </w:p>
    <w:p>
      <w:pPr>
        <w:ind w:left="420"/>
      </w:pPr>
      <w:r>
        <w:t xml:space="preserve">2. die technische Ausrüstung eines motorgetriebenen Luftfahrzeugs so gestaltet ist, dass die durch seinen Betrieb entstehenden Lärm- und die Abgasemissionen das nach dem jeweiligen Stand der Technik unvermeidbare Maß nicht übersteigen.</w:t>
      </w:r>
    </w:p>
    <w:p>
      <w:r>
        <w:t xml:space="preserve">(3) Das Luftfahrt-Bundesamt gibt die dem Absatz 2 Nr. 2 entsprechenden Lärm- und Abgasemissionsgrenzwerte nach Anhörung der Luftfahrtindustrie in den Nachrichten für Luftfahrer bekannt.</w:t>
      </w:r>
    </w:p>
    <w:p>
      <w:r>
        <w:rPr>
          <w:color w:val="555555"/>
          <w:sz w:val="17"/>
        </w:rPr>
        <w:t xml:space="preserve">Zitiervorschlag: § 3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