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19a LuftVZO — Kodierung und Eintragung von 406 MHz-Notsendern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Notsender, die auf der Frequenz 406 MHz senden, müssen vor ihrer Verwendung in Luftfahrzeugen den internationalen Regelungen entsprechend kodiert und in einem Verzeichnis eines Vertragsstaates der Internationalen Zivilluftfahrt-Organisation (ICAO) eingetragen sein. Für die Bundesrepublik Deutschland wird das Verzeichnis vom Luftfahrt-Bundesamt geführt. Das Luftfahrt-Bundesamt gibt die Einzelheiten in den Nachrichten für Luftfahrer bekannt.</w:t>
      </w:r>
    </w:p>
    <w:p>
      <w:r>
        <w:t xml:space="preserve">(2) Jede Veränderung in der Verwendung eines in der Bundesrepublik Deutschland eingetragenen Notsenders ist dem Luftfahrt-Bundesamt unverzüglich mitzuteilen.</w:t>
      </w:r>
    </w:p>
    <w:p>
      <w:r>
        <w:rPr>
          <w:color w:val="555555"/>
          <w:sz w:val="17"/>
        </w:rPr>
        <w:t xml:space="preserve">Zitiervorschlag: § 19a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https://recht.nulegal.eu/gesetze/LuftVZO/19a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