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LuftVZO — Kennzeichen, Kennzeichnung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22.06.2021 (konsolidierte Textfassung, kein amtliches Inkrafttretensdatum)</w:t>
      </w:r>
    </w:p>
    <w:p>
      <w:r>
        <w:t xml:space="preserve">(1) Bei der Verkehrszulassung nach § 14 Abs. 1 Satz 1 oder bei der Eintragung nach § 14 Abs. 1 Satz 2 oder Abs. 2 Satz 1 wird dem Luftfahrzeug ein Kennzeichen zugeteilt; im Falle der vorläufigen Verkehrszulassung nach § 12 kann ihm ein vorläufiges Kennzeichen zugeteilt werden. Die Kennzeichen sind zugleich mit dem deutschen Staatszugehörigkeitszeichen nach den Vorschriften der Anlage 1 am Luftfahrzeug zu führen.</w:t>
      </w:r>
    </w:p>
    <w:p>
      <w:r>
        <w:t xml:space="preserve">(2) Auf Antrag kann unter Angabe des Musters, der Baureihe und der Werknummer des Luftfahrzeugs ein Kennzeichen, für Luftsportgeräte befristet, vorgemerkt werden.</w:t>
      </w:r>
    </w:p>
    <w:p>
      <w:r>
        <w:t xml:space="preserve">(3) Der Eigentümer eines unbemannten Ballons oder Drachens mit jeweils einer Startmasse von mehr als 5 Kilogramm sowie eines Flugkörpers mit Eigenantrieb muss vor dem erstmaligen Betrieb an sichtbarer Stelle seinen Namen und seine Anschrift in dauerhafter und feuerfester Beschriftung an dem Fluggerät anbringen.</w:t>
      </w:r>
    </w:p>
    <w:p>
      <w:r>
        <w:rPr>
          <w:color w:val="555555"/>
          <w:sz w:val="17"/>
        </w:rPr>
        <w:t xml:space="preserve">Zitiervorschlag: § 19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