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LuftVZO — Eintragungen in Luftfahrzeugregister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(1) Flugzeuge, Drehflügler, Luftschiffe, Motorsegler, Segelflugzeuge, unbemannte Luftfahrtsysteme nach § 1 Absatz 1 Nummer 8a und bemannte Ballone sind bei der Verkehrszulassung von dem Luftfahrt-Bundesamt von Amts wegen in die Luftfahrzeugrolle einzutragen. Die Eintragung kann vor der Verkehrszulassung vorgenommen werden, wenn ein berechtigtes Interesse glaubhaft gemacht wird. Dem Eigentümer oder im Falle des § 8 Abs. 1 Nr. 1 Buchstabe c dem bevollmächtigten Vertreter wird ein Eintragungsschein nach Anlage 1 erteilt. Der Eintragungsschein ist bei dem Betrieb des Luftfahrzeugs mitzuführen.</w:t>
      </w:r>
    </w:p>
    <w:p>
      <w:r>
        <w:t xml:space="preserve">(2) Ultraleichtflugzeuge und Ultraleichthubschrauber werden für die Verkehrszulassung von den Beauftragten nach § 31c des Luftverkehrsgesetzes in das Luftsportgeräteverzeichnis eingetragen, Luftsportgeräte nach § 1 Absatz 4 auf Antrag. Absatz 1 Satz 2 bis 4 gilt entsprechend, Absatz 1 Satz 4 jedoch nicht für Luftsportgeräte nach § 1 Absatz 4.</w:t>
      </w:r>
    </w:p>
    <w:p>
      <w:r>
        <w:rPr>
          <w:color w:val="555555"/>
          <w:sz w:val="17"/>
        </w:rPr>
        <w:t xml:space="preserve">Zitiervorschlag: § 14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