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LuftVZO — Anzeigepflichten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Halter des Luftfahrzeugs hat der zuständigen Stelle unverzüglich Folgendes anzuzeigen:</w:t>
      </w:r>
    </w:p>
    <w:p>
      <w:pPr>
        <w:ind w:left="420"/>
      </w:pPr>
      <w:r>
        <w:t xml:space="preserve">1. technische Mängel, welche die Lufttüchtigkeit beeinträchtigen oder beeinträchtigen können, soweit sie nicht durch die vorgeschriebene Instandhaltung zu beheben sind,</w:t>
      </w:r>
    </w:p>
    <w:p>
      <w:pPr>
        <w:ind w:left="420"/>
      </w:pPr>
      <w:r>
        <w:t xml:space="preserve">2. jede Änderung des regelmäßigen Standorts des Luftfahrzeugs,</w:t>
      </w:r>
    </w:p>
    <w:p>
      <w:pPr>
        <w:ind w:left="420"/>
      </w:pPr>
      <w:r>
        <w:t xml:space="preserve">3. jede Änderung seiner Anschrift,</w:t>
      </w:r>
    </w:p>
    <w:p>
      <w:pPr>
        <w:ind w:left="420"/>
      </w:pPr>
      <w:r>
        <w:t xml:space="preserve">4. jede Änderung des Verwendungszwecks des Luftfahrzeugs.</w:t>
      </w:r>
    </w:p>
    <w:p>
      <w:r>
        <w:t xml:space="preserve">(2) Der Eigentümer des Luftfahrzeugs hat der zuständigen Stelle unverzüglich anzuzeigen, wenn der Eigentümer wechselt oder wenn der Halter für mindestens sechs Monate wechselt.</w:t>
      </w:r>
    </w:p>
    <w:p>
      <w:r>
        <w:rPr>
          <w:color w:val="555555"/>
          <w:sz w:val="17"/>
        </w:rPr>
        <w:t xml:space="preserve">Zitiervorschlag: § 11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