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LuftVZO — Inkrafttreten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(Inkrafttreten)</w:t>
      </w:r>
    </w:p>
    <w:p>
      <w:r>
        <w:t xml:space="preserve">(2) (Außerkrafttreten)</w:t>
      </w:r>
    </w:p>
    <w:p>
      <w:r>
        <w:t xml:space="preserve">(3) Die bei dem Inkrafttreten dieser Verordnung rechtswirksamen Zulassungen, Erlaubnisse und Genehmigungen sind von den nunmehr zuständigen Luftfahrtbehörden an die Vorschriften dieser Verordnung anzugleichen.</w:t>
      </w:r>
    </w:p>
    <w:p>
      <w:r>
        <w:rPr>
          <w:color w:val="555555"/>
          <w:sz w:val="17"/>
        </w:rPr>
        <w:t xml:space="preserve">Zitiervorschlag: § 109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