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 LuftVZO — Versicherer</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Der Versicherungsvertrag ist mit einem Versicherer zu schließen, der zum Geschäftsbetrieb in Deutschland befugt ist.</w:t>
      </w:r>
    </w:p>
    <w:p>
      <w:r>
        <w:t xml:space="preserve">(2) Absatz 1 gilt nicht für die Versicherungsverträge hinsichtlich Drittschäden und Fluggastschäden für ausländische Luftfahrzeuge nach § 99 Abs. 4 und 5 oder für deutsche Luftfahrzeuge, für die die völkerrechtliche Verantwortung und Zuständigkeit nach § 3a Abs. 2 des Luftverkehrsgesetzes auf den ausländischen Staat übertragen wurde. Jedoch kann der Versicherung eines Versicherungsnehmers eines Luftfahrzeugs nach Satz 1, welche mit einem Versicherer abgeschlossen wurde, der nicht zum Geschäftsbetrieb in Deutschland befugt ist, die Anerkennung verweigert werden, wenn in dem Staat, in dem das Luftfahrzeug eingetragen ist oder dem die völkerrechtliche Verantwortung und Zuständigkeit nach § 3a Abs. 2 des Luftverkehrsgesetzes übertragen worden ist, eine mit einem Versicherer mit Sitz in einem Mitgliedstaat der Europäischen Union abgeschlossene Versicherung eines deutschen Luftfahrzeugs nicht anerkannt wird. Die Sätze 1 und 2 gelten für die Anerkennung einer Versicherung nach § 104 entsprechend.</w:t>
      </w:r>
    </w:p>
    <w:p>
      <w:r>
        <w:rPr>
          <w:color w:val="555555"/>
          <w:sz w:val="17"/>
        </w:rPr>
        <w:t xml:space="preserve">Zitiervorschlag: § 105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