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LuftVZO — Versicherung für Güterschäden</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Der Haftpflichtversicherungsvertrag für Güterschäden muss die Haftung des Luftfrachtführers auf Schadensersatz nach dem Montrealer Übereinkommen wegen der in § 4 Abs. 2 des Montrealer Übereinkommen-Durchführungsgesetzes genannten Schäden bei der von ihm geschuldeten oder der von ihm für einen vertraglichen Luftfrachtführer ausgeführten Luftbeförderung decken.</w:t>
      </w:r>
    </w:p>
    <w:p>
      <w:r>
        <w:t xml:space="preserve">(2) Der Haftpflichtversicherungsvertrag nach Absatz 1 muss spätestens bei der Übernahme des Gutes vorliegen.</w:t>
      </w:r>
    </w:p>
    <w:p>
      <w:r>
        <w:t xml:space="preserve">(3) Die Mindesthöhe der Versicherungssumme beläuft sich für den Luftfrachtführer, der ein Luftfahrzeug betreibt oder führt, auf 19 Rechnungseinheiten je Kilogramm des beförderten Gutes. Für einen Luftfrachtführer, der ein Luftfahrzeug weder betreibt noch führt, beläuft sich die Mindesthöhe der Versicherungssumme auf 600 000 Euro je Schadensereignis. Dieser Luftfrachtführer kann eine Begrenzung der Leistungen des Versicherers für alle innerhalb eines Versicherungsjahres verursachten Schäden vereinbaren; die Jahreshöchstleistung muss jedoch mindestens das Zweifache der Mindestversicherungssumme betragen.</w:t>
      </w:r>
    </w:p>
    <w:p>
      <w:r>
        <w:t xml:space="preserve">(4) Soweit sich aus Artikel 23 Abs. 1 des Montrealer Übereinkommens nicht etwas anderes ergibt, gilt für die Umrechnung der Rechnungseinheit nach Absatz 3 § 431 Abs. 4 des Handelsgesetzbuchs entsprechend.</w:t>
      </w:r>
    </w:p>
    <w:p>
      <w:r>
        <w:rPr>
          <w:color w:val="555555"/>
          <w:sz w:val="17"/>
        </w:rPr>
        <w:t xml:space="preserve">Zitiervorschlag: § 104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