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LuftVZO — Vertragsinhalt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Haftpflichtversicherungsvertrag für Drittschäden muss die sich aus dem Betrieb eines Luftfahrzeugs für den Halter ergebende Haftung decken.</w:t>
      </w:r>
    </w:p>
    <w:p>
      <w:r>
        <w:t xml:space="preserve">(2) Die Mindesthöhe der Versicherungssumme bestimmt sich bei Luftfahrzeugen nach § 37 Abs. 1 des Luftverkehrsgesetzes.</w:t>
      </w:r>
    </w:p>
    <w:p>
      <w:r>
        <w:t xml:space="preserve">(3) Für Drachen, Flugmodelle und nichtmotorgetriebene Luftsportgeräte ist Gruppenversicherung zulässig.</w:t>
      </w:r>
    </w:p>
    <w:p>
      <w:r>
        <w:rPr>
          <w:color w:val="555555"/>
          <w:sz w:val="17"/>
        </w:rPr>
        <w:t xml:space="preserve">Zitiervorschlag: § 102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