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LuftVZO — Anwendungsbereich</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Für die Haftpflichtversicherung zur Deckung der Haftung auf Schadensersatz wegen der Tötung, der Körperverletzung oder der Gesundheitsbeschädigung einer nicht im Luftfahrzeug beförderten Person und der Zerstörung oder Beschädigung nicht im Luftfahrzeug beförderter Sachen (Drittschäden) sowie für die Haftpflichtversicherung zur Deckung der Haftung auf Schadensersatz wegen der Tötung, der Körperverletzung oder der Gesundheitsbeschädigung eines Fluggastes durch einen Unfall, wegen der verspäteten Beförderung eines Fluggastes oder wegen der Zerstörung, der Beschädigung, des Verlustes oder der verspäteten Beförderung seines Reisegepäcks (Fluggastschäden) und wegen der Zerstörung, der Beschädigung des Verlustes oder der verspäteten Ablieferung von Gütern (Güterschäden) bei einer aus Vertrag geschuldeten Luftbeförderung gelten die Vorschriften dieses Abschnitts, soweit</w:t>
      </w:r>
    </w:p>
    <w:p>
      <w:pPr>
        <w:ind w:left="420"/>
      </w:pPr>
      <w:r>
        <w:t xml:space="preserve">1. die Verordnung (EG) Nr. 1008/2008 des Europäischen Parlaments und des Rates vom 24. September 2008 über gemeinsame Vorschriften für die Durchführung von Luftverkehrsdiensten in der Gemeinschaft (ABl. L 293 vom 31.10.2008, S. 3) in der jeweils geltenden Fassung,</w:t>
      </w:r>
    </w:p>
    <w:p>
      <w:pPr>
        <w:ind w:left="420"/>
      </w:pPr>
      <w:r>
        <w:t xml:space="preserve">2. die Verordnung (EG) Nr. 2027/97 des Rates vom 9. Oktober 1997 über die Haftung von Luftfahrtunternehmen bei Unfällen (ABl. EG Nr. L 285 S. 1), geändert durch die Verordnung (EG) Nr. 889/2002 des Europäischen Parlaments und des Rates vom 13. Mai 2002 (ABl. EG Nr. L 140 S. 2), in der jeweils geltenden Fassung und</w:t>
      </w:r>
    </w:p>
    <w:p>
      <w:pPr>
        <w:ind w:left="420"/>
      </w:pPr>
      <w:r>
        <w:t xml:space="preserve">3. die Verordnung (EG) Nr. 785/2004 des Europäischen Parlaments und des Rates vom 21. April 2004 über Versicherungsanforderungen an Luftfahrtunternehmen und Luftfahrzeugbetreiber (ABl. EU Nr. L 138 S. 1) in der jeweils geltenden Fassung</w:t>
      </w:r>
    </w:p>
    <w:p>
      <w:r>
        <w:t xml:space="preserve">nicht anwendbar sind oder keine Regelungen enthalten.</w:t>
      </w:r>
    </w:p>
    <w:p>
      <w:r>
        <w:rPr>
          <w:color w:val="555555"/>
          <w:sz w:val="17"/>
        </w:rPr>
        <w:t xml:space="preserve">Zitiervorschlag: § 101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