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100 LuftVZO — Unberechtigter Einflug ausländischer Luftfahrzeuge</w:t>
      </w:r>
    </w:p>
    <w:p>
      <w:r>
        <w:rPr>
          <w:color w:val="555555"/>
          <w:sz w:val="18"/>
        </w:rPr>
        <w:t xml:space="preserve">Luftverkehrs-Zulassungs-Ordnung</w:t>
      </w:r>
    </w:p>
    <w:p>
      <w:r>
        <w:rPr>
          <w:color w:val="555555"/>
          <w:sz w:val="18"/>
        </w:rPr>
        <w:t xml:space="preserve">Stand: 10.06.2019 (konsolidierte Textfassung, kein amtliches Inkrafttretensdatum)</w:t>
      </w:r>
    </w:p>
    <w:p>
      <w:r>
        <w:t xml:space="preserve">(1) Gerät ein ausländisches Luftfahrzeug in den Geltungsbereich dieser Verordnung, ohne dass dies durch ein zwischen seinem Heimatstaat und der Bundesrepublik Deutschland abgeschlossenes Abkommen allgemein oder auf Grund einer besonderen Erlaubnis gestattet ist, so hat es unverzüglich auf dem nächstgelegenen Flugplatz im Geltungsbereich dieser Verordnung zu landen und die Erteilung einer Erlaubnis zum Weiterflug abzuwarten.</w:t>
      </w:r>
    </w:p>
    <w:p>
      <w:r>
        <w:t xml:space="preserve">(2) Die Erlaubnis zum Weiterflug darf erst nach Zustimmung der für die Passnachschau zuständigen Behörde und der zuständigen Zollbehörde erteilt werden.</w:t>
      </w:r>
    </w:p>
    <w:p>
      <w:r>
        <w:rPr>
          <w:color w:val="555555"/>
          <w:sz w:val="17"/>
        </w:rPr>
        <w:t xml:space="preserve">Zitiervorschlag: § 100 LuftVZO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https://recht.nulegal.eu/gesetze/LuftVZO/100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