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LuftVZO — Zulassungspflicht und Umfang der Zulassung</w:t>
      </w:r>
    </w:p>
    <w:p>
      <w:r>
        <w:rPr>
          <w:color w:val="555555"/>
          <w:sz w:val="18"/>
        </w:rPr>
        <w:t xml:space="preserve">Luftverkehrs-Zulassungs-Ordnung</w:t>
      </w:r>
    </w:p>
    <w:p>
      <w:r>
        <w:rPr>
          <w:color w:val="555555"/>
          <w:sz w:val="18"/>
        </w:rPr>
        <w:t xml:space="preserve">Stand: 25.01.2022 (konsolidierte Textfassung, kein amtliches Inkrafttretensdatum)</w:t>
      </w:r>
    </w:p>
    <w:p>
      <w:r>
        <w:t xml:space="preserve">(1) Luftfahrtgeräte, die der Musterzulassung bedürfen, sind:</w:t>
      </w:r>
    </w:p>
    <w:p>
      <w:pPr>
        <w:ind w:left="420"/>
      </w:pPr>
      <w:r>
        <w:t xml:space="preserve">1. Flugzeuge,</w:t>
      </w:r>
    </w:p>
    <w:p>
      <w:pPr>
        <w:ind w:left="420"/>
      </w:pPr>
      <w:r>
        <w:t xml:space="preserve">2. Drehflügler,</w:t>
      </w:r>
    </w:p>
    <w:p>
      <w:pPr>
        <w:ind w:left="420"/>
      </w:pPr>
      <w:r>
        <w:t xml:space="preserve">3. Motorsegler,</w:t>
      </w:r>
    </w:p>
    <w:p>
      <w:pPr>
        <w:ind w:left="420"/>
      </w:pPr>
      <w:r>
        <w:t xml:space="preserve">4. Segelflugzeuge,</w:t>
      </w:r>
    </w:p>
    <w:p>
      <w:pPr>
        <w:ind w:left="420"/>
      </w:pPr>
      <w:r>
        <w:t xml:space="preserve">5. Luftschiffe,</w:t>
      </w:r>
    </w:p>
    <w:p>
      <w:pPr>
        <w:ind w:left="420"/>
      </w:pPr>
      <w:r>
        <w:t xml:space="preserve">6. bemannte Ballone,</w:t>
      </w:r>
    </w:p>
    <w:p>
      <w:pPr>
        <w:ind w:left="420"/>
      </w:pPr>
      <w:r>
        <w:t xml:space="preserve">7. Luftsportgeräte einschließlich Rettungs- und Schleppgeräte,</w:t>
      </w:r>
    </w:p>
    <w:p>
      <w:pPr>
        <w:ind w:left="420"/>
      </w:pPr>
      <w:r>
        <w:t xml:space="preserve">8. Flugmodelle mit einer höchstzulässigen Startmasse über 25 Kilogramm (unbemannte Luftfahrzeuge, die in Sichtweite des Steuerers ausschließlich zum Zweck des Sports oder der Freizeitgestaltung betrieben werden),</w:t>
      </w:r>
    </w:p>
    <w:p>
      <w:pPr>
        <w:ind w:left="420"/>
      </w:pPr>
      <w:r>
        <w:t xml:space="preserve">8a. unbemannte Luftfahrtsysteme, die in der Betriebskategorie „zulassungspflichtig“ nach Artikel 6 der Durchführungsverordnung (EU) 2019/947 der Kommission vom 24. Mai 2019 über die Vorschriften und Verfahren für den Betrieb unbemannter Luftfahrzeuge (ABl. L 152 vom 11.6.2019, S. 45), die zuletzt durch die Durchführungsverordnung (EU) 2020/746 (ABl. L 176 vom 5.6.2020, S. 13) geändert worden ist, betrieben werden,</w:t>
      </w:r>
    </w:p>
    <w:p>
      <w:pPr>
        <w:ind w:left="420"/>
      </w:pPr>
      <w:r>
        <w:t xml:space="preserve">9. Flugmotoren,</w:t>
      </w:r>
    </w:p>
    <w:p>
      <w:pPr>
        <w:ind w:left="420"/>
      </w:pPr>
      <w:r>
        <w:t xml:space="preserve">10. Propeller,</w:t>
      </w:r>
    </w:p>
    <w:p>
      <w:pPr>
        <w:ind w:left="420"/>
      </w:pPr>
      <w:r>
        <w:t xml:space="preserve">11. sonstiges Luftfahrtgerät, das als Ausrüstungs- oder Zubehörteil eines Luftfahrzeugs den folgenden Anforderungen unterliegt:</w:t>
      </w:r>
    </w:p>
    <w:p>
      <w:pPr>
        <w:ind w:left="780"/>
      </w:pPr>
      <w:r>
        <w:t xml:space="preserve">a) den besonderen Anforderungen auf Grund der Verordnung (EG) Nr. 216/2008 des Europäischen Parlaments und des Rates vom 20. Februar 2008 zur Festlegung gemeinsamer Vorschriften für die Zivilluftfahrt und zur Errichtung einer Europäischen Agentur für Flugsicherheit, zur Aufhebung der Richtlinie 91/670/EWG des Rates, der Verordnung (EG) Nr. 1592/2002 und der Richtlinie 2004/36/EG (ABl. L 79 vom 19.3.2008, S. 1) oder</w:t>
      </w:r>
    </w:p>
    <w:p>
      <w:pPr>
        <w:ind w:left="780"/>
      </w:pPr>
      <w:r>
        <w:t xml:space="preserve">b) den Anforderungen der Betriebsordnung für Luftfahrtgerät.</w:t>
      </w:r>
    </w:p>
    <w:p>
      <w:r>
        <w:t xml:space="preserve">(2) In die Musterzulassung eines Luftfahrtgeräts nach Absatz 1 Nr. 1 bis 7 kann die Musterzulassung eines Luftfahrtgeräts nach Absatz 1 Nr. 9 bis 11 einbezogen werden; diese gilt dann nur für die Verwendung des Geräts in den Luftfahrtgeräten, in deren Musterzulassung sie einbezogen war.</w:t>
      </w:r>
    </w:p>
    <w:p>
      <w:r>
        <w:t xml:space="preserve">(3) Ein Luftfahrtgerät, dessen Nachbau nicht vorgesehen ist, wird als Einzelstück zugelassen. Einzelstücke sind von der Musterzulassung befreit. Die Sätze 1 und 2 gelten sinngemäß für die Änderungen von Einzelstücken.</w:t>
      </w:r>
    </w:p>
    <w:p>
      <w:r>
        <w:t xml:space="preserve">(4) Von der Musterzulassung befreit sind ein- oder zweisitzige Luftsportgeräte mit einer höchstzulässigen Leermasse von 120 Kilogramm einschließlich Gurtzeug und Rettungsgerät; für diese Luftfahrzeuge hat der Hersteller die Erfüllung der Lufttüchtigkeitsforderungen nach § 11 der Verordnung zur Prüfung von Luftfahrtgerät nachzuweisen. Satz 1 gilt ohne Gewichtsbeschränkung auch für das zugehörige Schleppgerät.</w:t>
      </w:r>
    </w:p>
    <w:p>
      <w:r>
        <w:rPr>
          <w:color w:val="555555"/>
          <w:sz w:val="17"/>
        </w:rPr>
        <w:t xml:space="preserve">Zitiervorschlag: § 1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