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LuftVStG — Steuerbefreiungen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Von der Besteuerung ausgenommen sind die folgenden Rechtsvorgänge, die zu einem Abflug von einem inländischen Startort berechtigen:</w:t>
      </w:r>
    </w:p>
    <w:p>
      <w:pPr>
        <w:ind w:left="420"/>
      </w:pPr>
      <w:r>
        <w:t xml:space="preserve">1. Abflüge von Fluggästen, die das zweite Lebensjahr noch nicht vollendet haben, soweit sie keinen eigenen Sitzplatz haben;</w:t>
      </w:r>
    </w:p>
    <w:p>
      <w:pPr>
        <w:ind w:left="420"/>
      </w:pPr>
      <w:r>
        <w:t xml:space="preserve">2. Abflüge von Fluggästen in Flugzeugen oder Drehflüglern, wenn der Flug ausschließlich militärischen oder anderen hoheitlichen Zwecken dient;</w:t>
      </w:r>
    </w:p>
    <w:p>
      <w:pPr>
        <w:ind w:left="420"/>
      </w:pPr>
      <w:r>
        <w:t xml:space="preserve">3. erneute Abflüge von Fluggästen, die infolge eines Flugabbruchs zum inländischen Startort, von dem der Abflug erfolgt ist, zurückgekehrt sind oder zu einem anderen inländischen Flugplatz nach § 6 Absatz 1 des Luftverkehrsgesetzes oder Grundstück, für das eine Erlaubnis nach § 25 Absatz 1 Satz 1 des Luftverkehrsgesetzes notwendig ist, befördert wurden;</w:t>
      </w:r>
    </w:p>
    <w:p>
      <w:pPr>
        <w:ind w:left="420"/>
      </w:pPr>
      <w:r>
        <w:t xml:space="preserve">4. Abflüge von Fluggästen,</w:t>
      </w:r>
    </w:p>
    <w:p>
      <w:pPr>
        <w:ind w:left="780"/>
      </w:pPr>
      <w:r>
        <w:t xml:space="preserve">a) die ihren Hauptwohnsitz auf einer inländischen Insel haben,</w:t>
      </w:r>
    </w:p>
    <w:p>
      <w:pPr>
        <w:ind w:left="780"/>
      </w:pPr>
      <w:r>
        <w:t xml:space="preserve">b) die der medizinischen Versorgung von Personen, die sich auf einer inländischen Insel aufhalten, dienen oder</w:t>
      </w:r>
    </w:p>
    <w:p>
      <w:pPr>
        <w:ind w:left="780"/>
      </w:pPr>
      <w:r>
        <w:t xml:space="preserve">c) die hoheitliche Aufgaben auf einer inländischen Insel wahrnehmen</w:t>
      </w:r>
    </w:p>
    <w:p>
      <w:pPr>
        <w:ind w:left="420"/>
      </w:pPr>
      <w:r>
        <w:t xml:space="preserve">von und zu dieser inländischen Insel, vorausgesetzt, die Insel ist nicht über einen tidenunabhängigen Straßen- oder Gleisanschluss mit dem Festland verbunden und der Start- oder Zielort auf dem Festland ist nicht weiter als 100 Kilometer Luftlinie von der Küste entfernt oder befindet sich auf einer anderen inländischen Insel;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Abflüge von Fluggästen in Flugzeugen oder Drehflüglern, die ausschließlich medizinischen Zwecken dienen;</w:t>
      </w:r>
    </w:p>
    <w:p>
      <w:pPr>
        <w:ind w:left="420"/>
      </w:pPr>
      <w:r>
        <w:t xml:space="preserve">7. Abflüge von Fluggästen in Flugzeugen mit einem maximalen Startgewicht bis zu 2 000 Kilogramm oder in Drehflüglern mit einem maximalen Startgewicht bis zu 2 500 Kilogramm bei Rundflügen;</w:t>
      </w:r>
    </w:p>
    <w:p>
      <w:pPr>
        <w:ind w:left="420"/>
      </w:pPr>
      <w:r>
        <w:t xml:space="preserve">8. Abflüge von Flugbesatzungen.</w:t>
      </w:r>
    </w:p>
    <w:p>
      <w:r>
        <w:rPr>
          <w:color w:val="555555"/>
          <w:sz w:val="17"/>
        </w:rPr>
        <w:t xml:space="preserve">Zitiervorschlag: § 5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