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LuftVStG — Ermächtigungen</w:t>
      </w:r>
    </w:p>
    <w:p>
      <w:r>
        <w:rPr>
          <w:color w:val="555555"/>
          <w:sz w:val="18"/>
        </w:rPr>
        <w:t xml:space="preserve">Luftverkehrsteuergesetz</w:t>
      </w:r>
    </w:p>
    <w:p>
      <w:r>
        <w:rPr>
          <w:color w:val="555555"/>
          <w:sz w:val="18"/>
        </w:rPr>
        <w:t xml:space="preserve">Stand: 27.06.2020 (konsolidierte Textfassung, kein amtliches Inkrafttretensdatum)</w:t>
      </w:r>
    </w:p>
    <w:p>
      <w:r>
        <w:t xml:space="preserve">(1) Das Bundesministerium der Finanzen wird ermächtigt, zur Durchführung dieses Gesetzes durch Rechtsverordnung ohne Zustimmung des Bundesrates zur Verfahrensvereinfachung sowie zur Sicherung der Gleichmäßigkeit der Besteuerung und des Steueraufkommens Bestimmungen zu den §§ 1, 3, 4, 6 bis 15 und 17 Absatz 1 zu erlassen und dabei</w:t>
      </w:r>
    </w:p>
    <w:p>
      <w:pPr>
        <w:ind w:left="420"/>
      </w:pPr>
      <w:r>
        <w:t xml:space="preserve">1. Bestimmungen zur Umsetzung der Steuerbefreiungen zu erlassen</w:t>
      </w:r>
    </w:p>
    <w:p>
      <w:pPr>
        <w:ind w:left="780"/>
      </w:pPr>
      <w:r>
        <w:t xml:space="preserve">a) nach Artikel XI des Abkommens vom 19. Juni 1951 zwischen den Parteien des Nordatlantikvertrages über die Rechtsstellung ihrer Truppen (BGBl. 1961 II S. 1183, 1190) in der jeweils geltenden Fassung und den Artikeln 65 bis 67 des Zusatzabkommens vom 3. August 1959 zu dem Abkommen vom 19. Juni 1951 zwischen den Parteien des Nordatlantikvertrages über die Rechtsstellung ihrer Truppen hinsichtlich der in der Bundesrepublik Deutschland stationierten ausländischen Truppen (BGBl. 1961 II S. 1183, 1218) in der jeweils geltenden Fassung,</w:t>
      </w:r>
    </w:p>
    <w:p>
      <w:pPr>
        <w:ind w:left="780"/>
      </w:pPr>
      <w:r>
        <w:t xml:space="preserve">b) nach Artikel 15 des Abkommens vom 13. März 1967 zwischen der Bundesrepublik Deutschland und dem Obersten Hauptquartier der Alliierten Mächte, Europa, über die besonderen Bedingungen für die Einrichtung und den Betrieb internationaler militärischer Hauptquartiere in der Bundesrepublik Deutschland (BGBl. 1969 II S. 1997, 2009) in der jeweils geltenden Fassung,</w:t>
      </w:r>
    </w:p>
    <w:p>
      <w:pPr>
        <w:ind w:left="780"/>
      </w:pPr>
      <w:r>
        <w:t xml:space="preserve">c) nach den Artikeln III bis V des Abkommens zwischen der Bundesrepublik Deutschland und den Vereinigten Staaten von Amerika vom 15. Oktober 1954 über die von der Bundesrepublik Deutschland zu gewährenden Abgabenvergünstigungen für die von den Vereinigten Staaten von Amerika im Interesse der gemeinsamen Verteidigung geleisteten Ausgaben (BGBl. 1955 II S. 821, 823) in der jeweils geltenden Fassung,</w:t>
      </w:r>
    </w:p>
    <w:p>
      <w:pPr>
        <w:ind w:left="780"/>
      </w:pPr>
      <w:r>
        <w:t xml:space="preserve">d) in Form der Gegenseitigkeit für die diplomatischen Missionen und konsularischen Vertretungen und</w:t>
      </w:r>
    </w:p>
    <w:p>
      <w:pPr>
        <w:ind w:left="780"/>
      </w:pPr>
      <w:r>
        <w:t xml:space="preserve">e) nach den internationalen Übereinkommen für die internationalen Einrichtungen,</w:t>
      </w:r>
    </w:p>
    <w:p>
      <w:pPr>
        <w:ind w:left="420"/>
      </w:pPr>
      <w:r>
        <w:t xml:space="preserve">2. das Verfahren zur Registrierung nach § 7 näher zu regeln,</w:t>
      </w:r>
    </w:p>
    <w:p>
      <w:pPr>
        <w:ind w:left="420"/>
      </w:pPr>
      <w:r>
        <w:t xml:space="preserve">3. das Erlaubnisverfahren nach § 8 näher zu regeln,</w:t>
      </w:r>
    </w:p>
    <w:p>
      <w:pPr>
        <w:ind w:left="420"/>
      </w:pPr>
      <w:r>
        <w:t xml:space="preserve">4. die Anzeichen für eine Gefährdung der Steuer gemäß § 9 näher zu bestimmen,</w:t>
      </w:r>
    </w:p>
    <w:p>
      <w:pPr>
        <w:ind w:left="420"/>
      </w:pPr>
      <w:r>
        <w:t xml:space="preserve">5. Verfahrensvorschriften zur Festsetzung und Erhebung der Steuer zu erlassen, insbesondere zur Steueranmeldung, zur Berechnung und Entrichtung der Steuer,</w:t>
      </w:r>
    </w:p>
    <w:p>
      <w:pPr>
        <w:ind w:left="420"/>
      </w:pPr>
      <w:r>
        <w:t xml:space="preserve">6. (weggefallen)</w:t>
      </w:r>
    </w:p>
    <w:p>
      <w:pPr>
        <w:ind w:left="420"/>
      </w:pPr>
      <w:r>
        <w:t xml:space="preserve">7. nähere Bestimmungen darüber zu treffen, wie die Aufzeichnungspflichten gemäß § 13 zu erfüllen sind und in welchen Fällen Erleichterungen bei der Erfüllung dieser Pflichten gewährt werden können.</w:t>
      </w:r>
    </w:p>
    <w:p>
      <w:r>
        <w:t xml:space="preserve">(2) Das Bundesministerium der Finanzen wird ermächtigt, zur Durchführung dieses Gesetzes durch Rechtsverordnung ohne Zustimmung des Bundesrates im Einvernehmen mit dem Bundesministerium für Verkehr und digitale Infrastruktur zur Verfahrensvereinfachung sowie zur Sicherung der Gleichmäßigkeit der Besteuerung und des Steueraufkommens Bestimmungen zu den §§ 2, 5 und 17 Absatz 2 und 3 zu erlassen und dabei</w:t>
      </w:r>
    </w:p>
    <w:p>
      <w:pPr>
        <w:ind w:left="420"/>
      </w:pPr>
      <w:r>
        <w:t xml:space="preserve">1. die Begriffe des § 2 Nummer 2 bis 7 und des § 5 näher zu bestimmen und</w:t>
      </w:r>
    </w:p>
    <w:p>
      <w:pPr>
        <w:ind w:left="420"/>
      </w:pPr>
      <w:r>
        <w:t xml:space="preserve">2. nähere Bestimmungen über Art, Inhalt und Form der Daten und Auskünfte zu treffen, die zwischen dem Hauptzollamt, dem Luftfahrt-Bundesamt, der Bundespolizei, den für die Flugsicherung zuständigen Stellen auszutauschen sind, sowie weitere Angaben über steuerlich relevante Tatsachen nach § 17 Absatz 2 und 3 anzufordern.</w:t>
      </w:r>
    </w:p>
    <w:p>
      <w:r>
        <w:t xml:space="preserve">(3) Das Bundesministerium der Finanzen wird ermächtigt, zur Durchführung dieses Gesetzes durch Rechtsverordnung ohne Zustimmung des Bundesrates</w:t>
      </w:r>
    </w:p>
    <w:p>
      <w:pPr>
        <w:ind w:left="420"/>
      </w:pPr>
      <w:r>
        <w:t xml:space="preserve">1. im Benehmen mit dem Bundesministerium des Innern, für Bau und Heimat alternativ zur qualifizierten elektronischen Signatur ein anderes sicheres Verfahren zuzulassen, das den Datenübermittler authentifiziert und die Vertraulichkeit und Integrität des elektronisch übermittelten Datensatzes gewährleistet. § 87a Absatz 6 Satz 2 der Abgabenordnung gilt entsprechend. In der Rechtsverordnung können auch Ausnahmen von der Pflicht zur Verwendung des nach Satz 1 zugelassenen Verfahrens vorgesehen werden. Die Datenübermittlung kann in der Rechtsverordnung auch durch Verweis auf Veröffentlichungen sachverständiger Stellen geregelt werden;</w:t>
      </w:r>
    </w:p>
    <w:p>
      <w:pPr>
        <w:ind w:left="420"/>
      </w:pPr>
      <w:r>
        <w:t xml:space="preserve">2. zur Verfahrensvereinfachung zu bestimmen, dass in diesem Gesetz oder einer auf Grund dieses Gesetzes erlassenen Verordnung vorgesehene Steuererklärungen oder sonstige Erklärungen, Steueranmeldungen, Anträge, Anzeigen, Mitteilungen, Nachweise oder sonstige Daten, die für das Verfahren erforderlich sind, ganz oder teilweise durch Datenfernübertragung zu übermitteln sind oder übermittelt werden können, und dabei insbesondere Folgendes zu regeln:</w:t>
      </w:r>
    </w:p>
    <w:p>
      <w:pPr>
        <w:ind w:left="780"/>
      </w:pPr>
      <w:r>
        <w:t xml:space="preserve">a) die Voraussetzungen für die Anwendung des Verfahrens der Datenfernübertragung,</w:t>
      </w:r>
    </w:p>
    <w:p>
      <w:pPr>
        <w:ind w:left="780"/>
      </w:pPr>
      <w:r>
        <w:t xml:space="preserve">b) das Nähere über Form, Verarbeitung und Sicherung der zu übermittelnden Daten,</w:t>
      </w:r>
    </w:p>
    <w:p>
      <w:pPr>
        <w:ind w:left="780"/>
      </w:pPr>
      <w:r>
        <w:t xml:space="preserve">c) die Art und Weise der Übermittlung der Daten,</w:t>
      </w:r>
    </w:p>
    <w:p>
      <w:pPr>
        <w:ind w:left="780"/>
      </w:pPr>
      <w:r>
        <w:t xml:space="preserve">d) die Zuständigkeit für die Entgegennahme der zu übermittelnden Daten,</w:t>
      </w:r>
    </w:p>
    <w:p>
      <w:pPr>
        <w:ind w:left="780"/>
      </w:pPr>
      <w:r>
        <w:t xml:space="preserve">e) die Mitwirkungspflichten Dritter und deren Haftung, wenn auf Grund unrichtiger Erhebung, Verarbeitung oder Übermittlung der Daten Steuern verkürzt oder Steuervorteile erlangt werden,</w:t>
      </w:r>
    </w:p>
    <w:p>
      <w:pPr>
        <w:ind w:left="780"/>
      </w:pPr>
      <w:r>
        <w:t xml:space="preserve">f) die Haftung des Datenübermittlers für verkürzte Steuern oder für zu Unrecht erlangte Steuervorteile, wenn der Datenübermittler sich keine Gewissheit über die Identität des Auftraggebers verschafft hat,</w:t>
      </w:r>
    </w:p>
    <w:p>
      <w:pPr>
        <w:ind w:left="780"/>
      </w:pPr>
      <w:r>
        <w:t xml:space="preserve">g) den Umfang und die Form der für dieses Verfahren erforderlichen besonderen Erklärungspflichten des Steuerpflichtigen oder Antragstellers.</w:t>
      </w:r>
    </w:p>
    <w:p>
      <w:pPr>
        <w:ind w:left="420"/>
      </w:pPr>
      <w:r>
        <w:t xml:space="preserve">Bei der Datenübermittlung ist ein sicheres Verfahren zu verwenden, das den Datenübermittler authentifiziert und die Vertraulichkeit und Integrität des elektronisch übermittelten Datensatzes gewährleistet. Die Datenübermittlung kann in der Rechtsverordnung auch durch Verweis auf Veröffentlichungen sachverständiger Stellen geregelt werden.</w:t>
      </w:r>
    </w:p>
    <w:p>
      <w:r>
        <w:rPr>
          <w:color w:val="555555"/>
          <w:sz w:val="17"/>
        </w:rPr>
        <w:t xml:space="preserve">Zitiervorschlag: § 18 LuftVStG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https://recht.nulegal.eu/gesetze/LuftVStG/18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